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2DEE3" w14:textId="77777777" w:rsidR="001F5811" w:rsidRDefault="001F5811">
      <w:pPr>
        <w:pStyle w:val="BodyText"/>
        <w:rPr>
          <w:rFonts w:ascii="Times New Roman"/>
          <w:sz w:val="20"/>
        </w:rPr>
      </w:pPr>
    </w:p>
    <w:p w14:paraId="48AD71A6" w14:textId="77777777" w:rsidR="001F5811" w:rsidRDefault="001F5811">
      <w:pPr>
        <w:pStyle w:val="BodyText"/>
        <w:spacing w:before="3"/>
        <w:rPr>
          <w:rFonts w:ascii="Times New Roman"/>
          <w:sz w:val="16"/>
        </w:rPr>
      </w:pPr>
    </w:p>
    <w:p w14:paraId="40EDB636" w14:textId="77777777" w:rsidR="001F5811" w:rsidRDefault="00920186">
      <w:pPr>
        <w:pStyle w:val="Heading1"/>
        <w:spacing w:before="27"/>
        <w:ind w:left="1302" w:right="1234"/>
        <w:jc w:val="center"/>
      </w:pPr>
      <w:r>
        <w:t>OHRAB Professional Development Scholarship</w:t>
      </w:r>
    </w:p>
    <w:p w14:paraId="7A740556" w14:textId="77777777" w:rsidR="001F5811" w:rsidRDefault="001F5811">
      <w:pPr>
        <w:pStyle w:val="BodyText"/>
        <w:spacing w:before="8"/>
        <w:rPr>
          <w:b/>
          <w:sz w:val="19"/>
        </w:rPr>
      </w:pPr>
    </w:p>
    <w:p w14:paraId="4FFDBEA2" w14:textId="62138CE1" w:rsidR="001F5811" w:rsidRDefault="00920186">
      <w:pPr>
        <w:pStyle w:val="BodyText"/>
        <w:spacing w:before="52"/>
        <w:ind w:left="100" w:right="364"/>
      </w:pPr>
      <w:bookmarkStart w:id="0" w:name="_GoBack"/>
      <w:r>
        <w:t xml:space="preserve">The Ohio Historical Records Advisory Board, in conjunction with the National Historical Publications and Records Commission, is pleased to offer scholarship aid to support continuing education for </w:t>
      </w:r>
      <w:r w:rsidR="00171C13" w:rsidRPr="00DC0B4C">
        <w:t>graduate</w:t>
      </w:r>
      <w:r w:rsidR="00171C13">
        <w:t xml:space="preserve"> </w:t>
      </w:r>
      <w:r>
        <w:t xml:space="preserve">students and individuals who care for the historic record. The Board will award </w:t>
      </w:r>
      <w:r w:rsidR="00E93F0E">
        <w:t xml:space="preserve">two </w:t>
      </w:r>
      <w:r>
        <w:t xml:space="preserve">scholarships of </w:t>
      </w:r>
      <w:r w:rsidR="00DC0B4C">
        <w:t xml:space="preserve">up to </w:t>
      </w:r>
      <w:r w:rsidR="00E93F0E">
        <w:t xml:space="preserve">$1,000 </w:t>
      </w:r>
      <w:r>
        <w:t xml:space="preserve">each to assist individuals in attending, either virtually or in person, a professional development opportunity of their choosing. Funding is available to support attendance at </w:t>
      </w:r>
      <w:r w:rsidR="00C70631">
        <w:t>training</w:t>
      </w:r>
      <w:r w:rsidR="00A609A8">
        <w:t>s</w:t>
      </w:r>
      <w:r w:rsidR="00C70631">
        <w:t xml:space="preserve">, </w:t>
      </w:r>
      <w:r>
        <w:t>meetings</w:t>
      </w:r>
      <w:r w:rsidR="00C70631">
        <w:t xml:space="preserve">, or </w:t>
      </w:r>
      <w:r>
        <w:t>conferences</w:t>
      </w:r>
      <w:r w:rsidR="00A609A8">
        <w:t>.</w:t>
      </w:r>
      <w:r>
        <w:t xml:space="preserve"> </w:t>
      </w:r>
      <w:r w:rsidR="00A609A8">
        <w:t xml:space="preserve"> The award could be used to attend </w:t>
      </w:r>
      <w:r w:rsidR="00D5333C">
        <w:t xml:space="preserve">educational </w:t>
      </w:r>
      <w:r w:rsidR="00A609A8">
        <w:t>opportunities provided by</w:t>
      </w:r>
      <w:r w:rsidR="00FB7EA7">
        <w:t xml:space="preserve"> </w:t>
      </w:r>
      <w:r>
        <w:t xml:space="preserve">organizations </w:t>
      </w:r>
      <w:r w:rsidR="00FB7EA7">
        <w:t xml:space="preserve">such </w:t>
      </w:r>
      <w:r>
        <w:t>as:</w:t>
      </w:r>
    </w:p>
    <w:p w14:paraId="20B90908" w14:textId="77777777" w:rsidR="00E93F0E" w:rsidRDefault="00E93F0E">
      <w:pPr>
        <w:pStyle w:val="BodyText"/>
        <w:spacing w:before="52"/>
        <w:ind w:left="100" w:right="364"/>
      </w:pPr>
    </w:p>
    <w:p w14:paraId="54873992" w14:textId="2EA73B0C" w:rsidR="001F5811" w:rsidRDefault="00920186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line="302" w:lineRule="exact"/>
        <w:ind w:hanging="361"/>
        <w:rPr>
          <w:sz w:val="24"/>
        </w:rPr>
      </w:pPr>
      <w:r>
        <w:rPr>
          <w:sz w:val="24"/>
        </w:rPr>
        <w:t>The Midwest Archives</w:t>
      </w:r>
      <w:r>
        <w:rPr>
          <w:spacing w:val="-6"/>
          <w:sz w:val="24"/>
        </w:rPr>
        <w:t xml:space="preserve"> </w:t>
      </w:r>
      <w:r>
        <w:rPr>
          <w:sz w:val="24"/>
        </w:rPr>
        <w:t>Conference</w:t>
      </w:r>
      <w:r w:rsidR="00E93F0E">
        <w:rPr>
          <w:sz w:val="24"/>
        </w:rPr>
        <w:t xml:space="preserve"> (MAC)</w:t>
      </w:r>
      <w:r>
        <w:rPr>
          <w:sz w:val="24"/>
        </w:rPr>
        <w:t>,</w:t>
      </w:r>
    </w:p>
    <w:p w14:paraId="42BDE905" w14:textId="759E3B53" w:rsidR="003005B9" w:rsidRPr="003005B9" w:rsidRDefault="003005B9" w:rsidP="003005B9">
      <w:pPr>
        <w:pStyle w:val="ListParagraph"/>
        <w:numPr>
          <w:ilvl w:val="0"/>
          <w:numId w:val="1"/>
        </w:numPr>
        <w:rPr>
          <w:sz w:val="24"/>
        </w:rPr>
      </w:pPr>
      <w:r w:rsidRPr="003005B9">
        <w:rPr>
          <w:sz w:val="24"/>
        </w:rPr>
        <w:t>The Society of American Archivists (SAA),</w:t>
      </w:r>
    </w:p>
    <w:p w14:paraId="62B88561" w14:textId="23C7F822" w:rsidR="001F5811" w:rsidRDefault="00920186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1"/>
        <w:ind w:hanging="361"/>
        <w:rPr>
          <w:sz w:val="24"/>
        </w:rPr>
      </w:pPr>
      <w:r>
        <w:rPr>
          <w:sz w:val="24"/>
        </w:rPr>
        <w:t>The Society of Ohio</w:t>
      </w:r>
      <w:r>
        <w:rPr>
          <w:spacing w:val="2"/>
          <w:sz w:val="24"/>
        </w:rPr>
        <w:t xml:space="preserve"> </w:t>
      </w:r>
      <w:r>
        <w:rPr>
          <w:sz w:val="24"/>
        </w:rPr>
        <w:t>Archivists</w:t>
      </w:r>
      <w:r w:rsidR="00E93F0E">
        <w:rPr>
          <w:sz w:val="24"/>
        </w:rPr>
        <w:t xml:space="preserve"> (SOA)</w:t>
      </w:r>
      <w:r>
        <w:rPr>
          <w:sz w:val="24"/>
        </w:rPr>
        <w:t>,</w:t>
      </w:r>
    </w:p>
    <w:p w14:paraId="5BE1D74B" w14:textId="5EBAAB2A" w:rsidR="001F5811" w:rsidRDefault="00920186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ind w:hanging="361"/>
        <w:rPr>
          <w:sz w:val="24"/>
        </w:rPr>
      </w:pPr>
      <w:r>
        <w:rPr>
          <w:sz w:val="24"/>
        </w:rPr>
        <w:t>The Ohio Local History Alliance</w:t>
      </w:r>
      <w:r w:rsidR="00E93F0E">
        <w:rPr>
          <w:sz w:val="24"/>
        </w:rPr>
        <w:t xml:space="preserve"> (OLHA)</w:t>
      </w:r>
      <w:r w:rsidR="008F564A">
        <w:rPr>
          <w:sz w:val="24"/>
        </w:rPr>
        <w:t xml:space="preserve">, </w:t>
      </w:r>
    </w:p>
    <w:p w14:paraId="020D3829" w14:textId="5B076640" w:rsidR="001F5811" w:rsidRDefault="00920186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ind w:hanging="361"/>
        <w:rPr>
          <w:sz w:val="24"/>
        </w:rPr>
      </w:pPr>
      <w:r>
        <w:rPr>
          <w:sz w:val="24"/>
        </w:rPr>
        <w:t>The Academic Library Association of</w:t>
      </w:r>
      <w:r>
        <w:rPr>
          <w:spacing w:val="-1"/>
          <w:sz w:val="24"/>
        </w:rPr>
        <w:t xml:space="preserve"> </w:t>
      </w:r>
      <w:r>
        <w:rPr>
          <w:sz w:val="24"/>
        </w:rPr>
        <w:t>Ohio</w:t>
      </w:r>
      <w:r w:rsidR="003005B9">
        <w:rPr>
          <w:sz w:val="24"/>
        </w:rPr>
        <w:t xml:space="preserve"> (ALAO)</w:t>
      </w:r>
      <w:r>
        <w:rPr>
          <w:sz w:val="24"/>
        </w:rPr>
        <w:t>,</w:t>
      </w:r>
    </w:p>
    <w:p w14:paraId="50301D30" w14:textId="30879B01" w:rsidR="001F5811" w:rsidRDefault="00920186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ind w:hanging="361"/>
        <w:rPr>
          <w:sz w:val="24"/>
        </w:rPr>
      </w:pPr>
      <w:r>
        <w:rPr>
          <w:sz w:val="24"/>
        </w:rPr>
        <w:t>The Ohio Municipal Clerks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</w:t>
      </w:r>
      <w:r w:rsidR="003005B9">
        <w:rPr>
          <w:sz w:val="24"/>
        </w:rPr>
        <w:t xml:space="preserve"> (OMCA)</w:t>
      </w:r>
      <w:r>
        <w:rPr>
          <w:sz w:val="24"/>
        </w:rPr>
        <w:t>,</w:t>
      </w:r>
    </w:p>
    <w:p w14:paraId="60DC9F4B" w14:textId="61FC4F4A" w:rsidR="001F5811" w:rsidRDefault="00920186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ind w:hanging="361"/>
        <w:rPr>
          <w:sz w:val="24"/>
        </w:rPr>
      </w:pPr>
      <w:r>
        <w:rPr>
          <w:sz w:val="24"/>
        </w:rPr>
        <w:t>The International Institute of Municipal</w:t>
      </w:r>
      <w:r>
        <w:rPr>
          <w:spacing w:val="2"/>
          <w:sz w:val="24"/>
        </w:rPr>
        <w:t xml:space="preserve"> </w:t>
      </w:r>
      <w:r>
        <w:rPr>
          <w:sz w:val="24"/>
        </w:rPr>
        <w:t>Clerks</w:t>
      </w:r>
      <w:r w:rsidR="003005B9">
        <w:rPr>
          <w:sz w:val="24"/>
        </w:rPr>
        <w:t xml:space="preserve"> (IIMC)</w:t>
      </w:r>
      <w:r>
        <w:rPr>
          <w:sz w:val="24"/>
        </w:rPr>
        <w:t>,</w:t>
      </w:r>
    </w:p>
    <w:p w14:paraId="56A7F313" w14:textId="37B47A8E" w:rsidR="003005B9" w:rsidRPr="003005B9" w:rsidRDefault="003005B9" w:rsidP="003005B9">
      <w:pPr>
        <w:pStyle w:val="ListParagraph"/>
        <w:numPr>
          <w:ilvl w:val="0"/>
          <w:numId w:val="1"/>
        </w:numPr>
        <w:rPr>
          <w:sz w:val="24"/>
        </w:rPr>
      </w:pPr>
      <w:r w:rsidRPr="003005B9">
        <w:rPr>
          <w:sz w:val="24"/>
        </w:rPr>
        <w:t>The Ohio Township Association (OTA),</w:t>
      </w:r>
    </w:p>
    <w:p w14:paraId="0AD7DD76" w14:textId="3DFB5366" w:rsidR="001F5811" w:rsidRDefault="00920186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The National Association of Government Archives &amp; Records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Administrators</w:t>
      </w:r>
      <w:r w:rsidR="003005B9">
        <w:rPr>
          <w:sz w:val="24"/>
        </w:rPr>
        <w:t xml:space="preserve"> (NAGARA)</w:t>
      </w:r>
      <w:r>
        <w:rPr>
          <w:sz w:val="24"/>
        </w:rPr>
        <w:t>,</w:t>
      </w:r>
    </w:p>
    <w:p w14:paraId="1657A9D9" w14:textId="6807F58C" w:rsidR="001F5811" w:rsidRDefault="00920186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1"/>
        <w:ind w:hanging="361"/>
        <w:rPr>
          <w:sz w:val="24"/>
        </w:rPr>
      </w:pPr>
      <w:r>
        <w:rPr>
          <w:sz w:val="24"/>
        </w:rPr>
        <w:t>The Ohio Genealogical Society</w:t>
      </w:r>
      <w:r w:rsidR="003005B9">
        <w:rPr>
          <w:sz w:val="24"/>
        </w:rPr>
        <w:t xml:space="preserve"> (OGS)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</w:p>
    <w:p w14:paraId="3C1BA33A" w14:textId="77777777" w:rsidR="001F5811" w:rsidRDefault="00920186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ind w:hanging="361"/>
        <w:rPr>
          <w:sz w:val="24"/>
        </w:rPr>
      </w:pPr>
      <w:r>
        <w:rPr>
          <w:sz w:val="24"/>
        </w:rPr>
        <w:t>Other professional development opportunities subject to approval by</w:t>
      </w:r>
      <w:r>
        <w:rPr>
          <w:spacing w:val="-19"/>
          <w:sz w:val="24"/>
        </w:rPr>
        <w:t xml:space="preserve"> </w:t>
      </w:r>
      <w:r>
        <w:rPr>
          <w:sz w:val="24"/>
        </w:rPr>
        <w:t>OHRAB.</w:t>
      </w:r>
    </w:p>
    <w:p w14:paraId="39BD8888" w14:textId="77777777" w:rsidR="002079BC" w:rsidRDefault="002079BC">
      <w:pPr>
        <w:pStyle w:val="BodyText"/>
        <w:spacing w:before="4"/>
        <w:rPr>
          <w:sz w:val="23"/>
        </w:rPr>
      </w:pPr>
    </w:p>
    <w:p w14:paraId="7381FAEA" w14:textId="77777777" w:rsidR="00A67403" w:rsidRDefault="00A67403">
      <w:pPr>
        <w:pStyle w:val="BodyText"/>
        <w:spacing w:before="4"/>
        <w:rPr>
          <w:sz w:val="23"/>
        </w:rPr>
      </w:pPr>
    </w:p>
    <w:p w14:paraId="5B521043" w14:textId="77777777" w:rsidR="001F5811" w:rsidRDefault="00920186">
      <w:pPr>
        <w:pStyle w:val="Heading1"/>
        <w:rPr>
          <w:rFonts w:ascii="Arial"/>
        </w:rPr>
      </w:pPr>
      <w:r>
        <w:rPr>
          <w:rFonts w:ascii="Arial"/>
        </w:rPr>
        <w:t>Eligibility</w:t>
      </w:r>
    </w:p>
    <w:p w14:paraId="7646C629" w14:textId="77777777" w:rsidR="001F5811" w:rsidRDefault="001F5811">
      <w:pPr>
        <w:pStyle w:val="BodyText"/>
        <w:spacing w:before="1"/>
        <w:rPr>
          <w:rFonts w:ascii="Arial"/>
          <w:b/>
          <w:sz w:val="36"/>
        </w:rPr>
      </w:pPr>
    </w:p>
    <w:p w14:paraId="142CFB59" w14:textId="77777777" w:rsidR="001F5811" w:rsidRDefault="00920186">
      <w:pPr>
        <w:pStyle w:val="BodyText"/>
        <w:ind w:left="100" w:right="105"/>
      </w:pPr>
      <w:r>
        <w:t xml:space="preserve">Applicants must be individuals who are full-time (minimum of 9 credits) </w:t>
      </w:r>
      <w:r w:rsidRPr="00DC0B4C">
        <w:t>graduate</w:t>
      </w:r>
      <w:r>
        <w:t xml:space="preserve"> students currently enrolled in an Ohio institution of higher education; individuals working or volunteering in an Ohio library, archive, special collection, or government repository; individuals who serve as a state, county, municipal or township officials or their designees and whose main responsibility is to maintain public records; and those who work or volunteer in other roles caring for or providing access to records within the State of Ohio.</w:t>
      </w:r>
    </w:p>
    <w:p w14:paraId="1CB340E7" w14:textId="77777777" w:rsidR="001F5811" w:rsidRDefault="001F5811">
      <w:pPr>
        <w:pStyle w:val="BodyText"/>
        <w:spacing w:before="11"/>
        <w:rPr>
          <w:sz w:val="23"/>
        </w:rPr>
      </w:pPr>
    </w:p>
    <w:bookmarkEnd w:id="0"/>
    <w:p w14:paraId="2313D9CF" w14:textId="77777777" w:rsidR="00AC32C6" w:rsidRDefault="00920186" w:rsidP="00AC32C6">
      <w:pPr>
        <w:pStyle w:val="BodyText"/>
        <w:spacing w:before="1"/>
        <w:ind w:left="100" w:right="92"/>
      </w:pPr>
      <w:r>
        <w:t xml:space="preserve">Recipients are eligible for a Board scholarship no more than once each calendar </w:t>
      </w:r>
      <w:r w:rsidR="002079BC">
        <w:t>year and</w:t>
      </w:r>
      <w:r>
        <w:t xml:space="preserve"> must use the funds to attend an approved professional development opportunity. No advanced payments will be made; recipients will be reimbursed for expenses supported by </w:t>
      </w:r>
    </w:p>
    <w:p w14:paraId="11EC02F6" w14:textId="77777777" w:rsidR="00AC32C6" w:rsidRDefault="00AC32C6" w:rsidP="00AC32C6">
      <w:pPr>
        <w:pStyle w:val="BodyText"/>
        <w:spacing w:before="1"/>
        <w:ind w:left="100" w:right="92"/>
      </w:pPr>
    </w:p>
    <w:p w14:paraId="3315579C" w14:textId="77777777" w:rsidR="00AC32C6" w:rsidRDefault="00AC32C6" w:rsidP="00AC32C6">
      <w:pPr>
        <w:pStyle w:val="Heading1"/>
        <w:spacing w:before="200"/>
        <w:ind w:left="1301" w:right="1235"/>
        <w:jc w:val="center"/>
      </w:pPr>
      <w:r>
        <w:lastRenderedPageBreak/>
        <w:t>OHRAB Professional Development Scholarship</w:t>
      </w:r>
    </w:p>
    <w:p w14:paraId="54CEB84A" w14:textId="77777777" w:rsidR="00AC32C6" w:rsidRDefault="00AC32C6" w:rsidP="00AC32C6">
      <w:pPr>
        <w:pStyle w:val="BodyText"/>
        <w:spacing w:before="1"/>
        <w:ind w:left="100" w:right="92"/>
      </w:pPr>
    </w:p>
    <w:p w14:paraId="24CEF839" w14:textId="77777777" w:rsidR="00AC32C6" w:rsidRDefault="00AC32C6" w:rsidP="00AC32C6">
      <w:pPr>
        <w:pStyle w:val="BodyText"/>
        <w:spacing w:before="1"/>
        <w:ind w:left="100" w:right="92"/>
      </w:pPr>
    </w:p>
    <w:p w14:paraId="52A0689E" w14:textId="263A4753" w:rsidR="00A67403" w:rsidRDefault="00920186" w:rsidP="00AC32C6">
      <w:pPr>
        <w:pStyle w:val="BodyText"/>
        <w:spacing w:before="1"/>
        <w:ind w:left="100" w:right="92"/>
      </w:pPr>
      <w:r>
        <w:t xml:space="preserve">documentation. </w:t>
      </w:r>
      <w:r w:rsidR="002079BC">
        <w:t>To</w:t>
      </w:r>
      <w:r>
        <w:t xml:space="preserve"> be reimbursed, all receipts for meals, registration fees, lodging, etc. must </w:t>
      </w:r>
    </w:p>
    <w:p w14:paraId="22A2A698" w14:textId="01B5752B" w:rsidR="001F5811" w:rsidRDefault="00920186" w:rsidP="00A67403">
      <w:pPr>
        <w:pStyle w:val="BodyText"/>
        <w:spacing w:before="1"/>
        <w:ind w:left="100" w:right="92"/>
      </w:pPr>
      <w:r>
        <w:t>be retained and submitted. Recipients are solely responsible for any tax obligations.</w:t>
      </w:r>
      <w:r w:rsidR="00A67403">
        <w:t xml:space="preserve"> </w:t>
      </w:r>
      <w:r>
        <w:t>Reimbursements will be paid through the Ohio History Connection and scholarship recipients will be sent the necessary paperwork, including a W9 form, which requires a tax ID number.</w:t>
      </w:r>
    </w:p>
    <w:p w14:paraId="5A6A7616" w14:textId="77777777" w:rsidR="001F5811" w:rsidRDefault="001F5811">
      <w:pPr>
        <w:pStyle w:val="BodyText"/>
        <w:rPr>
          <w:sz w:val="20"/>
        </w:rPr>
      </w:pPr>
    </w:p>
    <w:p w14:paraId="593BEBFE" w14:textId="77777777" w:rsidR="001F5811" w:rsidRDefault="00920186">
      <w:pPr>
        <w:spacing w:before="264"/>
        <w:ind w:left="100"/>
        <w:rPr>
          <w:rFonts w:ascii="Arial"/>
          <w:b/>
          <w:sz w:val="36"/>
        </w:rPr>
      </w:pPr>
      <w:r>
        <w:rPr>
          <w:rFonts w:ascii="Arial"/>
          <w:b/>
          <w:sz w:val="36"/>
        </w:rPr>
        <w:t>How to Apply</w:t>
      </w:r>
    </w:p>
    <w:p w14:paraId="6AD95C24" w14:textId="77777777" w:rsidR="001F5811" w:rsidRDefault="001F5811">
      <w:pPr>
        <w:pStyle w:val="BodyText"/>
        <w:spacing w:before="1"/>
        <w:rPr>
          <w:rFonts w:ascii="Arial"/>
          <w:b/>
          <w:sz w:val="36"/>
        </w:rPr>
      </w:pPr>
    </w:p>
    <w:p w14:paraId="2CE96DE0" w14:textId="322B2B7D" w:rsidR="001F5811" w:rsidRPr="00E057B6" w:rsidRDefault="00920186" w:rsidP="00E057B6">
      <w:pPr>
        <w:pStyle w:val="BodyText"/>
        <w:ind w:left="100"/>
        <w:rPr>
          <w:b/>
        </w:rPr>
      </w:pPr>
      <w:r>
        <w:t xml:space="preserve">To be considered for the scholarship, the application must be received no later than </w:t>
      </w:r>
      <w:r w:rsidR="00071C51">
        <w:rPr>
          <w:b/>
        </w:rPr>
        <w:t>March 1, 2026</w:t>
      </w:r>
      <w:r>
        <w:t>. Applications received after this date will not be considered. Applicants will be notified by phone or email of their status respectively.</w:t>
      </w:r>
    </w:p>
    <w:p w14:paraId="1228E4AC" w14:textId="77777777" w:rsidR="001F5811" w:rsidRDefault="001F5811">
      <w:pPr>
        <w:pStyle w:val="BodyText"/>
        <w:spacing w:before="4"/>
      </w:pPr>
    </w:p>
    <w:p w14:paraId="45D95A19" w14:textId="6C49B0D9" w:rsidR="001F5811" w:rsidRDefault="00920186">
      <w:pPr>
        <w:pStyle w:val="BodyText"/>
        <w:spacing w:line="237" w:lineRule="auto"/>
        <w:ind w:left="100"/>
      </w:pPr>
      <w:r>
        <w:t xml:space="preserve">The completed application and required narrative should be sent or emailed to: </w:t>
      </w:r>
      <w:r w:rsidR="00957AE1">
        <w:t>Chris Shaw</w:t>
      </w:r>
      <w:r>
        <w:t xml:space="preserve">, </w:t>
      </w:r>
      <w:r w:rsidR="00957AE1">
        <w:t xml:space="preserve">Delaware </w:t>
      </w:r>
      <w:r>
        <w:t xml:space="preserve">County Records Center, </w:t>
      </w:r>
      <w:r w:rsidR="00957AE1">
        <w:t>2079 US Rte. 23 North</w:t>
      </w:r>
      <w:r>
        <w:t xml:space="preserve">, </w:t>
      </w:r>
      <w:r w:rsidR="00957AE1">
        <w:t>PO Box 8006</w:t>
      </w:r>
      <w:r>
        <w:t>, D</w:t>
      </w:r>
      <w:r w:rsidR="00957AE1">
        <w:t>elaware</w:t>
      </w:r>
      <w:r>
        <w:t>, OH, 4</w:t>
      </w:r>
      <w:r w:rsidR="00957AE1">
        <w:t>3015</w:t>
      </w:r>
      <w:r>
        <w:t xml:space="preserve">. Or </w:t>
      </w:r>
      <w:hyperlink r:id="rId10" w:history="1">
        <w:r w:rsidR="00DE67F9" w:rsidRPr="006B2FE0">
          <w:rPr>
            <w:rStyle w:val="Hyperlink"/>
          </w:rPr>
          <w:t>cshaw@co.delaware.oh.us.</w:t>
        </w:r>
      </w:hyperlink>
    </w:p>
    <w:sectPr w:rsidR="001F58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3080" w:right="1400" w:bottom="960" w:left="1340" w:header="72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B0E3F" w14:textId="77777777" w:rsidR="00071183" w:rsidRDefault="00071183">
      <w:r>
        <w:separator/>
      </w:r>
    </w:p>
  </w:endnote>
  <w:endnote w:type="continuationSeparator" w:id="0">
    <w:p w14:paraId="051186D8" w14:textId="77777777" w:rsidR="00071183" w:rsidRDefault="0007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69C13" w14:textId="77777777" w:rsidR="00D654A8" w:rsidRDefault="00D654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7D523" w14:textId="46321233" w:rsidR="001F5811" w:rsidRDefault="004C3DB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4786A1" wp14:editId="44E09838">
              <wp:simplePos x="0" y="0"/>
              <wp:positionH relativeFrom="page">
                <wp:posOffset>901700</wp:posOffset>
              </wp:positionH>
              <wp:positionV relativeFrom="page">
                <wp:posOffset>9439275</wp:posOffset>
              </wp:positionV>
              <wp:extent cx="683895" cy="177800"/>
              <wp:effectExtent l="0" t="0" r="1905" b="12700"/>
              <wp:wrapNone/>
              <wp:docPr id="10079912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3C488" w14:textId="36AFAA80" w:rsidR="001F5811" w:rsidRDefault="00D654A8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t>1/12/2026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24786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743.25pt;width:53.8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" filled="f" stroked="f">
              <v:textbox inset="0,0,0,0">
                <w:txbxContent>
                  <w:p w14:paraId="6673C488" w14:textId="36AFAA80" w:rsidR="001F5811" w:rsidRDefault="00D654A8">
                    <w:pPr>
                      <w:pStyle w:val="BodyText"/>
                      <w:spacing w:line="264" w:lineRule="exact"/>
                      <w:ind w:left="20"/>
                    </w:pPr>
                    <w:r>
                      <w:t>1/12/2026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ABBA3" w14:textId="77777777" w:rsidR="00D654A8" w:rsidRDefault="00D65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F31C8" w14:textId="77777777" w:rsidR="00071183" w:rsidRDefault="00071183">
      <w:r>
        <w:separator/>
      </w:r>
    </w:p>
  </w:footnote>
  <w:footnote w:type="continuationSeparator" w:id="0">
    <w:p w14:paraId="2DB2185C" w14:textId="77777777" w:rsidR="00071183" w:rsidRDefault="00071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049FD" w14:textId="77777777" w:rsidR="00D654A8" w:rsidRDefault="00D65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BD48B" w14:textId="77777777" w:rsidR="001F5811" w:rsidRDefault="00920186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1D475EBF" wp14:editId="560A920A">
          <wp:simplePos x="0" y="0"/>
          <wp:positionH relativeFrom="page">
            <wp:posOffset>3418585</wp:posOffset>
          </wp:positionH>
          <wp:positionV relativeFrom="page">
            <wp:posOffset>457200</wp:posOffset>
          </wp:positionV>
          <wp:extent cx="935228" cy="150304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5228" cy="1503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4B841" w14:textId="77777777" w:rsidR="00D654A8" w:rsidRDefault="00D654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604C4"/>
    <w:multiLevelType w:val="hybridMultilevel"/>
    <w:tmpl w:val="FF109240"/>
    <w:lvl w:ilvl="0" w:tplc="306865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62CC840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en-US"/>
      </w:rPr>
    </w:lvl>
    <w:lvl w:ilvl="2" w:tplc="F17A94C4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en-US"/>
      </w:rPr>
    </w:lvl>
    <w:lvl w:ilvl="3" w:tplc="C570F424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en-US"/>
      </w:rPr>
    </w:lvl>
    <w:lvl w:ilvl="4" w:tplc="CD6A0E88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en-US"/>
      </w:rPr>
    </w:lvl>
    <w:lvl w:ilvl="5" w:tplc="B3D0B9AA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en-US"/>
      </w:rPr>
    </w:lvl>
    <w:lvl w:ilvl="6" w:tplc="2146BAD6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en-US"/>
      </w:rPr>
    </w:lvl>
    <w:lvl w:ilvl="7" w:tplc="1DAEE568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en-US"/>
      </w:rPr>
    </w:lvl>
    <w:lvl w:ilvl="8" w:tplc="82707450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11"/>
    <w:rsid w:val="00071183"/>
    <w:rsid w:val="00071C51"/>
    <w:rsid w:val="000E5CE2"/>
    <w:rsid w:val="00147E43"/>
    <w:rsid w:val="00171C13"/>
    <w:rsid w:val="001930ED"/>
    <w:rsid w:val="001F5811"/>
    <w:rsid w:val="002079BC"/>
    <w:rsid w:val="00227521"/>
    <w:rsid w:val="0026355B"/>
    <w:rsid w:val="0028414B"/>
    <w:rsid w:val="002C4BF1"/>
    <w:rsid w:val="002E7FFD"/>
    <w:rsid w:val="003005B9"/>
    <w:rsid w:val="00491BD6"/>
    <w:rsid w:val="004B2101"/>
    <w:rsid w:val="004C3DBE"/>
    <w:rsid w:val="005764B8"/>
    <w:rsid w:val="005C721E"/>
    <w:rsid w:val="0065486A"/>
    <w:rsid w:val="006B0613"/>
    <w:rsid w:val="007078D1"/>
    <w:rsid w:val="008010AD"/>
    <w:rsid w:val="008509FD"/>
    <w:rsid w:val="008F564A"/>
    <w:rsid w:val="00920186"/>
    <w:rsid w:val="00957AE1"/>
    <w:rsid w:val="009B297C"/>
    <w:rsid w:val="00A14247"/>
    <w:rsid w:val="00A37F8C"/>
    <w:rsid w:val="00A609A8"/>
    <w:rsid w:val="00A67403"/>
    <w:rsid w:val="00A71165"/>
    <w:rsid w:val="00AC32C6"/>
    <w:rsid w:val="00B00EE3"/>
    <w:rsid w:val="00B37952"/>
    <w:rsid w:val="00C70631"/>
    <w:rsid w:val="00C74018"/>
    <w:rsid w:val="00CE7245"/>
    <w:rsid w:val="00CF64AC"/>
    <w:rsid w:val="00D4008F"/>
    <w:rsid w:val="00D5333C"/>
    <w:rsid w:val="00D654A8"/>
    <w:rsid w:val="00D87A6A"/>
    <w:rsid w:val="00DC0B4C"/>
    <w:rsid w:val="00DD4D43"/>
    <w:rsid w:val="00DE67F9"/>
    <w:rsid w:val="00E057B6"/>
    <w:rsid w:val="00E14D1F"/>
    <w:rsid w:val="00E63B48"/>
    <w:rsid w:val="00E6470E"/>
    <w:rsid w:val="00E83700"/>
    <w:rsid w:val="00E93F0E"/>
    <w:rsid w:val="00FB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4D18B"/>
  <w15:docId w15:val="{89216E13-C37F-4AD8-8C49-269E9BFB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79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952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379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952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DE67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shaw@co.delaware.oh.us.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7e56e5-cbe3-41f2-8b56-fee8812e4ba7">
      <Terms xmlns="http://schemas.microsoft.com/office/infopath/2007/PartnerControls"/>
    </lcf76f155ced4ddcb4097134ff3c332f>
    <TaxCatchAll xmlns="2b65ad6e-ac8f-4d10-943c-2b21c92192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3DAA32CD6C74DB659D400BDEF04F2" ma:contentTypeVersion="15" ma:contentTypeDescription="Create a new document." ma:contentTypeScope="" ma:versionID="36c0937ea679dfcb50994e9fac7ba4b3">
  <xsd:schema xmlns:xsd="http://www.w3.org/2001/XMLSchema" xmlns:xs="http://www.w3.org/2001/XMLSchema" xmlns:p="http://schemas.microsoft.com/office/2006/metadata/properties" xmlns:ns2="297e56e5-cbe3-41f2-8b56-fee8812e4ba7" xmlns:ns3="2b65ad6e-ac8f-4d10-943c-2b21c921926c" targetNamespace="http://schemas.microsoft.com/office/2006/metadata/properties" ma:root="true" ma:fieldsID="bfc87d3295939f9e09296a11487ccd3d" ns2:_="" ns3:_="">
    <xsd:import namespace="297e56e5-cbe3-41f2-8b56-fee8812e4ba7"/>
    <xsd:import namespace="2b65ad6e-ac8f-4d10-943c-2b21c9219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e56e5-cbe3-41f2-8b56-fee8812e4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a43d4ab-557c-40e5-8754-01d1c633f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5ad6e-ac8f-4d10-943c-2b21c9219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f1a1ba0-a7f3-4213-8dff-42115ae45d5c}" ma:internalName="TaxCatchAll" ma:showField="CatchAllData" ma:web="2b65ad6e-ac8f-4d10-943c-2b21c9219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194BB-95E0-4BFF-9673-C934399AA3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4D6AC3-5895-4D4B-96F1-6107E34639D9}">
  <ds:schemaRefs>
    <ds:schemaRef ds:uri="http://schemas.microsoft.com/office/2006/metadata/properties"/>
    <ds:schemaRef ds:uri="http://schemas.microsoft.com/office/infopath/2007/PartnerControls"/>
    <ds:schemaRef ds:uri="297e56e5-cbe3-41f2-8b56-fee8812e4ba7"/>
    <ds:schemaRef ds:uri="2b65ad6e-ac8f-4d10-943c-2b21c921926c"/>
  </ds:schemaRefs>
</ds:datastoreItem>
</file>

<file path=customXml/itemProps3.xml><?xml version="1.0" encoding="utf-8"?>
<ds:datastoreItem xmlns:ds="http://schemas.openxmlformats.org/officeDocument/2006/customXml" ds:itemID="{A8411728-938D-400B-A7D0-453E140EE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e56e5-cbe3-41f2-8b56-fee8812e4ba7"/>
    <ds:schemaRef ds:uri="2b65ad6e-ac8f-4d10-943c-2b21c9219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History Connection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L Sweetser</dc:creator>
  <cp:lastModifiedBy>Shaw, Chris</cp:lastModifiedBy>
  <cp:revision>4</cp:revision>
  <dcterms:created xsi:type="dcterms:W3CDTF">2026-01-16T15:26:00Z</dcterms:created>
  <dcterms:modified xsi:type="dcterms:W3CDTF">2026-01-16T15:27:00Z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2023-01-12T00:00:00Z</vt:filetime>
  </property>
  <property fmtid="{D5CDD505-2E9C-101B-9397-08002B2CF9AE}" pid="5" name="ContentTypeId">
    <vt:lpwstr>0x0101002653DAA32CD6C74DB659D400BDEF04F2</vt:lpwstr>
  </property>
</Properties>
</file>