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90" w:rsidRDefault="0079559E" w:rsidP="0079559E">
      <w:pPr>
        <w:spacing w:after="240"/>
        <w:jc w:val="center"/>
        <w:rPr>
          <w:b/>
          <w:sz w:val="28"/>
          <w:szCs w:val="28"/>
        </w:rPr>
      </w:pPr>
      <w:r w:rsidRPr="0079559E">
        <w:rPr>
          <w:b/>
          <w:sz w:val="28"/>
          <w:szCs w:val="28"/>
        </w:rPr>
        <w:t>NEWS RELEASE</w:t>
      </w:r>
    </w:p>
    <w:p w:rsidR="0079559E" w:rsidRDefault="0079559E" w:rsidP="0079559E">
      <w:pPr>
        <w:tabs>
          <w:tab w:val="right" w:pos="10080"/>
        </w:tabs>
        <w:spacing w:after="240"/>
      </w:pPr>
      <w:r w:rsidRPr="00DB34BB">
        <w:rPr>
          <w:b/>
        </w:rPr>
        <w:t>FOR IMMEDIATE RELEASE</w:t>
      </w:r>
      <w:r>
        <w:tab/>
        <w:t xml:space="preserve">Contact: </w:t>
      </w:r>
      <w:r w:rsidR="00803CFB">
        <w:t xml:space="preserve">Beth Gianforcaro, </w:t>
      </w:r>
      <w:r>
        <w:t xml:space="preserve">(614) </w:t>
      </w:r>
      <w:r w:rsidR="00265D12">
        <w:t>644-6230</w:t>
      </w:r>
      <w:r>
        <w:br/>
      </w:r>
      <w:r w:rsidR="00A86F0B">
        <w:t>Sept. 11, 2019</w:t>
      </w:r>
      <w:r>
        <w:tab/>
      </w:r>
      <w:r w:rsidR="00803CFB">
        <w:t>bgianforcaro</w:t>
      </w:r>
      <w:r>
        <w:t>@age.ohio.gov</w:t>
      </w:r>
    </w:p>
    <w:p w:rsidR="0079559E" w:rsidRDefault="00A86F0B" w:rsidP="0079559E">
      <w:pPr>
        <w:tabs>
          <w:tab w:val="left" w:pos="6840"/>
          <w:tab w:val="left" w:pos="7920"/>
        </w:tabs>
        <w:jc w:val="center"/>
        <w:rPr>
          <w:b/>
          <w:sz w:val="28"/>
          <w:szCs w:val="28"/>
        </w:rPr>
      </w:pPr>
      <w:r>
        <w:rPr>
          <w:b/>
          <w:sz w:val="28"/>
          <w:szCs w:val="28"/>
        </w:rPr>
        <w:t>Ohio Department of Aging offers preparedness tips and resources for older adults</w:t>
      </w:r>
    </w:p>
    <w:p w:rsidR="0079559E" w:rsidRPr="00F32D31" w:rsidRDefault="00A86F0B" w:rsidP="0079559E">
      <w:pPr>
        <w:tabs>
          <w:tab w:val="left" w:pos="6840"/>
          <w:tab w:val="left" w:pos="7920"/>
        </w:tabs>
        <w:spacing w:after="240"/>
        <w:jc w:val="center"/>
        <w:rPr>
          <w:i/>
          <w:sz w:val="28"/>
          <w:szCs w:val="28"/>
        </w:rPr>
      </w:pPr>
      <w:r>
        <w:rPr>
          <w:i/>
          <w:sz w:val="28"/>
          <w:szCs w:val="28"/>
        </w:rPr>
        <w:t>September is National Preparedness Month</w:t>
      </w:r>
    </w:p>
    <w:p w:rsidR="0079559E" w:rsidRDefault="0079559E" w:rsidP="00D22CED">
      <w:pPr>
        <w:spacing w:after="120"/>
      </w:pPr>
      <w:r w:rsidRPr="0079559E">
        <w:rPr>
          <w:b/>
        </w:rPr>
        <w:t>Columbus, Ohio</w:t>
      </w:r>
      <w:r w:rsidRPr="0079559E">
        <w:t xml:space="preserve"> –</w:t>
      </w:r>
      <w:r w:rsidR="00A86F0B">
        <w:t xml:space="preserve"> During National Preparedness Month, the Ohio Department of Aging remind</w:t>
      </w:r>
      <w:r w:rsidR="0023318F">
        <w:t>s</w:t>
      </w:r>
      <w:r w:rsidR="00A86F0B">
        <w:t xml:space="preserve"> all Ohioans that older adults may have a harder time adjusting during emergencies and extreme conditions than younger people do. This makes it even more important that older Ohioans have a plan for what to do if disaster strikes.</w:t>
      </w:r>
    </w:p>
    <w:p w:rsidR="00A86F0B" w:rsidRDefault="00A86F0B" w:rsidP="00D22CED">
      <w:pPr>
        <w:spacing w:after="120"/>
      </w:pPr>
      <w:r>
        <w:t xml:space="preserve">“Emergencies and disasters can </w:t>
      </w:r>
      <w:r w:rsidR="0023318F">
        <w:t>happen</w:t>
      </w:r>
      <w:r>
        <w:t xml:space="preserve"> quickly and without warning. Ensure the best by </w:t>
      </w:r>
      <w:r w:rsidR="0023318F">
        <w:t>planning for</w:t>
      </w:r>
      <w:r>
        <w:t xml:space="preserve"> the worst,” said Ursel J. McElroy, director of the department. “</w:t>
      </w:r>
      <w:r w:rsidR="0023318F">
        <w:t>Take time this month to k</w:t>
      </w:r>
      <w:r>
        <w:t xml:space="preserve">now what you will do if you </w:t>
      </w:r>
      <w:r w:rsidR="0023318F">
        <w:t>are</w:t>
      </w:r>
      <w:r>
        <w:t xml:space="preserve"> confined to your home or </w:t>
      </w:r>
      <w:r w:rsidR="0023318F">
        <w:t xml:space="preserve">must </w:t>
      </w:r>
      <w:r>
        <w:t>leave it quickly.”</w:t>
      </w:r>
    </w:p>
    <w:p w:rsidR="00A86F0B" w:rsidRDefault="00A86F0B" w:rsidP="00D22CED">
      <w:pPr>
        <w:spacing w:after="120"/>
      </w:pPr>
      <w:r>
        <w:t>The Department of Aging recommends that all older Ohioans have a plan that will allow them to remain in place in their home or another location for at least three days.</w:t>
      </w:r>
      <w:r w:rsidR="00E9178B">
        <w:t xml:space="preserve"> This includes:</w:t>
      </w:r>
    </w:p>
    <w:p w:rsidR="00E9178B" w:rsidRDefault="00E9178B" w:rsidP="00E9178B">
      <w:pPr>
        <w:pStyle w:val="ListParagraph"/>
        <w:numPr>
          <w:ilvl w:val="0"/>
          <w:numId w:val="1"/>
        </w:numPr>
        <w:spacing w:after="120"/>
      </w:pPr>
      <w:r w:rsidRPr="00E9178B">
        <w:rPr>
          <w:b/>
        </w:rPr>
        <w:t>A home emergency kit</w:t>
      </w:r>
      <w:r>
        <w:t xml:space="preserve"> that contains</w:t>
      </w:r>
      <w:r w:rsidR="0023318F">
        <w:t>, at a minimum,</w:t>
      </w:r>
      <w:r>
        <w:t xml:space="preserve"> a battery-operated radio, a loud whistle or horn, food that can be opened and prepared easily, one gallon of water per person per day, extra blankets, and a first aid kit;</w:t>
      </w:r>
    </w:p>
    <w:p w:rsidR="00E9178B" w:rsidRDefault="00E9178B" w:rsidP="00E9178B">
      <w:pPr>
        <w:pStyle w:val="ListParagraph"/>
        <w:numPr>
          <w:ilvl w:val="0"/>
          <w:numId w:val="1"/>
        </w:numPr>
        <w:spacing w:after="120"/>
      </w:pPr>
      <w:r w:rsidRPr="00E9178B">
        <w:rPr>
          <w:b/>
        </w:rPr>
        <w:t>A “go-bag”</w:t>
      </w:r>
      <w:r>
        <w:t xml:space="preserve"> with essentials you might need if you must leave your home quickly, including food and drink, toiletries, medication, a flashlight and batteries, a radio, a phone charger, important paperwork, identification</w:t>
      </w:r>
      <w:r w:rsidR="0023318F">
        <w:t>,</w:t>
      </w:r>
      <w:r>
        <w:t xml:space="preserve"> and some cash;</w:t>
      </w:r>
    </w:p>
    <w:p w:rsidR="00E9178B" w:rsidRDefault="00E9178B" w:rsidP="00E9178B">
      <w:pPr>
        <w:pStyle w:val="ListParagraph"/>
        <w:numPr>
          <w:ilvl w:val="0"/>
          <w:numId w:val="1"/>
        </w:numPr>
        <w:spacing w:after="120"/>
      </w:pPr>
      <w:r w:rsidRPr="00E9178B">
        <w:rPr>
          <w:b/>
        </w:rPr>
        <w:t>A backup supply of medications</w:t>
      </w:r>
      <w:r>
        <w:t>, and extra copies of your prescriptions from your health care providers (include a cooler and ice packs for medications that must be refrigerated);</w:t>
      </w:r>
      <w:r w:rsidR="0023318F">
        <w:t xml:space="preserve"> and</w:t>
      </w:r>
    </w:p>
    <w:p w:rsidR="00E9178B" w:rsidRDefault="00E9178B" w:rsidP="00E9178B">
      <w:pPr>
        <w:pStyle w:val="ListParagraph"/>
        <w:numPr>
          <w:ilvl w:val="0"/>
          <w:numId w:val="1"/>
        </w:numPr>
        <w:spacing w:after="120"/>
      </w:pPr>
      <w:r w:rsidRPr="00E9178B">
        <w:rPr>
          <w:b/>
        </w:rPr>
        <w:t>Any medical equipment or assistive devices</w:t>
      </w:r>
      <w:r>
        <w:t xml:space="preserve"> (such as canes, walkers, wheelchairs, lifts, and oxygen tanks) you may need</w:t>
      </w:r>
      <w:r w:rsidR="0023318F">
        <w:t xml:space="preserve">, with </w:t>
      </w:r>
      <w:r>
        <w:t>operation instructions and spare batteries or non-powered alternatives</w:t>
      </w:r>
      <w:r w:rsidR="0023318F">
        <w:t>.</w:t>
      </w:r>
    </w:p>
    <w:p w:rsidR="00E9178B" w:rsidRDefault="00E9178B" w:rsidP="00E9178B">
      <w:pPr>
        <w:spacing w:after="120"/>
      </w:pPr>
      <w:r>
        <w:t>Be prepared to explain to rescuers how to move you or help you move safe</w:t>
      </w:r>
      <w:r w:rsidR="0023318F">
        <w:t>l</w:t>
      </w:r>
      <w:r>
        <w:t>y</w:t>
      </w:r>
      <w:r w:rsidR="00A06487">
        <w:t xml:space="preserve"> and quickly, such as</w:t>
      </w:r>
      <w:r w:rsidR="0023318F">
        <w:t xml:space="preserve"> where to find</w:t>
      </w:r>
      <w:r w:rsidR="00A06487">
        <w:t xml:space="preserve"> any equipment or medications you will need. Ask a reliable family member, friend, or neighbor to visit or call you in severe weather or another emergency to make sure you are okay. Agree on what they should do if they are unable to reach you or find you needing help.</w:t>
      </w:r>
    </w:p>
    <w:p w:rsidR="00A06487" w:rsidRDefault="00A06487" w:rsidP="00E9178B">
      <w:pPr>
        <w:spacing w:after="120"/>
      </w:pPr>
      <w:r>
        <w:t xml:space="preserve">Your area agency on aging can point you to local resources to help you and your older loved ones be prepared. Call 1-866-243-5678 to be connected to the agency serving your community. Visit </w:t>
      </w:r>
      <w:hyperlink r:id="rId7" w:history="1">
        <w:r w:rsidR="007F282B" w:rsidRPr="0002723A">
          <w:rPr>
            <w:rStyle w:val="Hyperlink"/>
          </w:rPr>
          <w:t>www.ready.ohio.gov</w:t>
        </w:r>
      </w:hyperlink>
      <w:r w:rsidR="007F282B">
        <w:t xml:space="preserve"> and </w:t>
      </w:r>
      <w:hyperlink r:id="rId8" w:history="1">
        <w:r w:rsidRPr="0002723A">
          <w:rPr>
            <w:rStyle w:val="Hyperlink"/>
          </w:rPr>
          <w:t>www.aging.ohio.gov/safeathome</w:t>
        </w:r>
      </w:hyperlink>
      <w:r>
        <w:t xml:space="preserve"> for more tips and resources.</w:t>
      </w:r>
    </w:p>
    <w:p w:rsidR="00A06487" w:rsidRDefault="00A06487" w:rsidP="00A06487">
      <w:pPr>
        <w:spacing w:after="120"/>
      </w:pPr>
      <w:r w:rsidRPr="00A06487">
        <w:rPr>
          <w:i/>
        </w:rPr>
        <w:t>Video message from Director McElroy</w:t>
      </w:r>
      <w:r>
        <w:t xml:space="preserve">: </w:t>
      </w:r>
      <w:hyperlink r:id="rId9" w:history="1">
        <w:r w:rsidRPr="0002723A">
          <w:rPr>
            <w:rStyle w:val="Hyperlink"/>
          </w:rPr>
          <w:t>youtu.be/y5u_Bs0GL88</w:t>
        </w:r>
      </w:hyperlink>
      <w:r>
        <w:t xml:space="preserve"> </w:t>
      </w:r>
      <w:r>
        <w:br/>
      </w:r>
      <w:r w:rsidRPr="00A06487">
        <w:rPr>
          <w:i/>
        </w:rPr>
        <w:t>Radio/podcast partners</w:t>
      </w:r>
      <w:r>
        <w:t xml:space="preserve">: </w:t>
      </w:r>
      <w:hyperlink r:id="rId10" w:history="1">
        <w:r w:rsidRPr="00A57CD9">
          <w:rPr>
            <w:rStyle w:val="Hyperlink"/>
          </w:rPr>
          <w:t>Download audio clips on this topic from Director McElroy.</w:t>
        </w:r>
      </w:hyperlink>
    </w:p>
    <w:p w:rsidR="0079559E" w:rsidRDefault="0079559E" w:rsidP="00A06487">
      <w:pPr>
        <w:spacing w:after="120"/>
      </w:pPr>
      <w:r w:rsidRPr="000F068E">
        <w:rPr>
          <w:b/>
        </w:rPr>
        <w:lastRenderedPageBreak/>
        <w:t xml:space="preserve">About ODA – </w:t>
      </w:r>
      <w:r w:rsidRPr="000F068E">
        <w:t>The Ohio Department</w:t>
      </w:r>
      <w:r>
        <w:t xml:space="preserve"> of </w:t>
      </w:r>
      <w:r w:rsidRPr="000F068E">
        <w:t xml:space="preserve">Aging </w:t>
      </w:r>
      <w:r>
        <w:t>serves and advocates for the needs of Ohioans age 60 and older, as well as their families, caregivers and communities. Programs include home and community based long-term supports and services, as well as initiatives to</w:t>
      </w:r>
      <w:bookmarkStart w:id="0" w:name="_GoBack"/>
      <w:bookmarkEnd w:id="0"/>
      <w:r>
        <w:t xml:space="preserve"> promote health and wellness throughout the lifespan. </w:t>
      </w:r>
      <w:r w:rsidRPr="000F068E">
        <w:t>Visit www.aging.ohio.gov.</w:t>
      </w:r>
    </w:p>
    <w:p w:rsidR="0079559E" w:rsidRPr="0079559E" w:rsidRDefault="0079559E" w:rsidP="0079559E">
      <w:pPr>
        <w:jc w:val="center"/>
        <w:rPr>
          <w:b/>
        </w:rPr>
      </w:pPr>
      <w:r w:rsidRPr="00DB34BB">
        <w:rPr>
          <w:b/>
        </w:rPr>
        <w:t>###</w:t>
      </w:r>
    </w:p>
    <w:sectPr w:rsidR="0079559E" w:rsidRPr="0079559E" w:rsidSect="003D5790">
      <w:footerReference w:type="default" r:id="rId11"/>
      <w:headerReference w:type="first" r:id="rId12"/>
      <w:footerReference w:type="first" r:id="rId13"/>
      <w:pgSz w:w="12240" w:h="15840" w:code="1"/>
      <w:pgMar w:top="1440" w:right="1080" w:bottom="1440" w:left="108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F0B" w:rsidRDefault="00A86F0B">
      <w:r>
        <w:separator/>
      </w:r>
    </w:p>
  </w:endnote>
  <w:endnote w:type="continuationSeparator" w:id="0">
    <w:p w:rsidR="00A86F0B" w:rsidRDefault="00A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186698"/>
      <w:docPartObj>
        <w:docPartGallery w:val="Page Numbers (Bottom of Page)"/>
        <w:docPartUnique/>
      </w:docPartObj>
    </w:sdtPr>
    <w:sdtEndPr>
      <w:rPr>
        <w:noProof/>
        <w:color w:val="808080" w:themeColor="background1" w:themeShade="80"/>
        <w:sz w:val="20"/>
        <w:szCs w:val="20"/>
      </w:rPr>
    </w:sdtEndPr>
    <w:sdtContent>
      <w:p w:rsidR="00B008C0" w:rsidRPr="00B008C0" w:rsidRDefault="00B008C0" w:rsidP="00B008C0">
        <w:pPr>
          <w:pStyle w:val="Footer"/>
          <w:jc w:val="center"/>
          <w:rPr>
            <w:color w:val="808080" w:themeColor="background1" w:themeShade="80"/>
            <w:sz w:val="20"/>
            <w:szCs w:val="20"/>
          </w:rPr>
        </w:pPr>
        <w:r w:rsidRPr="00B008C0">
          <w:rPr>
            <w:color w:val="808080" w:themeColor="background1" w:themeShade="80"/>
            <w:sz w:val="20"/>
            <w:szCs w:val="20"/>
          </w:rPr>
          <w:fldChar w:fldCharType="begin"/>
        </w:r>
        <w:r w:rsidRPr="00B008C0">
          <w:rPr>
            <w:color w:val="808080" w:themeColor="background1" w:themeShade="80"/>
            <w:sz w:val="20"/>
            <w:szCs w:val="20"/>
          </w:rPr>
          <w:instrText xml:space="preserve"> PAGE   \* MERGEFORMAT </w:instrText>
        </w:r>
        <w:r w:rsidRPr="00B008C0">
          <w:rPr>
            <w:color w:val="808080" w:themeColor="background1" w:themeShade="80"/>
            <w:sz w:val="20"/>
            <w:szCs w:val="20"/>
          </w:rPr>
          <w:fldChar w:fldCharType="separate"/>
        </w:r>
        <w:r w:rsidR="00D22CED">
          <w:rPr>
            <w:noProof/>
            <w:color w:val="808080" w:themeColor="background1" w:themeShade="80"/>
            <w:sz w:val="20"/>
            <w:szCs w:val="20"/>
          </w:rPr>
          <w:t>2</w:t>
        </w:r>
        <w:r w:rsidRPr="00B008C0">
          <w:rPr>
            <w:noProof/>
            <w:color w:val="808080" w:themeColor="background1" w:themeShade="80"/>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E08" w:rsidRPr="007B0B57" w:rsidRDefault="00414CEC" w:rsidP="00BF54EC">
    <w:pPr>
      <w:pStyle w:val="Footer"/>
      <w:tabs>
        <w:tab w:val="clear" w:pos="4320"/>
        <w:tab w:val="clear" w:pos="8640"/>
        <w:tab w:val="left" w:pos="1260"/>
        <w:tab w:val="left" w:pos="4680"/>
      </w:tabs>
      <w:rPr>
        <w:rFonts w:cs="Arial"/>
        <w:color w:val="777777"/>
        <w:sz w:val="20"/>
        <w:szCs w:val="20"/>
      </w:rPr>
    </w:pPr>
    <w:r>
      <w:rPr>
        <w:noProof/>
      </w:rPr>
      <mc:AlternateContent>
        <mc:Choice Requires="wps">
          <w:drawing>
            <wp:anchor distT="0" distB="0" distL="114300" distR="114300" simplePos="0" relativeHeight="251658752" behindDoc="0" locked="1" layoutInCell="1" allowOverlap="1" wp14:anchorId="37F8A6BC" wp14:editId="592156E8">
              <wp:simplePos x="0" y="0"/>
              <wp:positionH relativeFrom="page">
                <wp:posOffset>1962150</wp:posOffset>
              </wp:positionH>
              <wp:positionV relativeFrom="page">
                <wp:posOffset>9239250</wp:posOffset>
              </wp:positionV>
              <wp:extent cx="3627120" cy="542925"/>
              <wp:effectExtent l="0" t="0" r="0" b="95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08" w:rsidRDefault="0071043A" w:rsidP="007A5FDC">
                          <w:pPr>
                            <w:pStyle w:val="Footer"/>
                            <w:tabs>
                              <w:tab w:val="clear" w:pos="4320"/>
                              <w:tab w:val="clear" w:pos="8640"/>
                              <w:tab w:val="left" w:pos="3420"/>
                              <w:tab w:val="left" w:pos="3960"/>
                            </w:tabs>
                            <w:rPr>
                              <w:rFonts w:cs="Arial"/>
                              <w:color w:val="777777"/>
                              <w:sz w:val="20"/>
                              <w:szCs w:val="20"/>
                            </w:rPr>
                          </w:pPr>
                          <w:r>
                            <w:rPr>
                              <w:rFonts w:cs="Arial"/>
                              <w:color w:val="777777"/>
                              <w:sz w:val="20"/>
                              <w:szCs w:val="20"/>
                            </w:rPr>
                            <w:t>246 N. High St.</w:t>
                          </w:r>
                          <w:r w:rsidR="00A13E08" w:rsidRPr="007B0B57">
                            <w:rPr>
                              <w:rFonts w:cs="Arial"/>
                              <w:color w:val="777777"/>
                              <w:sz w:val="20"/>
                              <w:szCs w:val="20"/>
                            </w:rPr>
                            <w:t xml:space="preserve"> / </w:t>
                          </w:r>
                          <w:r>
                            <w:rPr>
                              <w:rFonts w:cs="Arial"/>
                              <w:color w:val="777777"/>
                              <w:sz w:val="20"/>
                              <w:szCs w:val="20"/>
                            </w:rPr>
                            <w:t>1st</w:t>
                          </w:r>
                          <w:r w:rsidR="00A13E08" w:rsidRPr="007B0B57">
                            <w:rPr>
                              <w:rFonts w:cs="Arial"/>
                              <w:color w:val="777777"/>
                              <w:sz w:val="20"/>
                              <w:szCs w:val="20"/>
                            </w:rPr>
                            <w:t xml:space="preserve"> Fl</w:t>
                          </w:r>
                          <w:r>
                            <w:rPr>
                              <w:rFonts w:cs="Arial"/>
                              <w:color w:val="777777"/>
                              <w:sz w:val="20"/>
                              <w:szCs w:val="20"/>
                            </w:rPr>
                            <w:t>.</w:t>
                          </w:r>
                          <w:r w:rsidR="00A13E08" w:rsidRPr="007B0B57">
                            <w:rPr>
                              <w:rFonts w:cs="Arial"/>
                              <w:color w:val="777777"/>
                              <w:sz w:val="20"/>
                              <w:szCs w:val="20"/>
                            </w:rPr>
                            <w:tab/>
                          </w:r>
                          <w:r w:rsidR="007A5FDC">
                            <w:rPr>
                              <w:rFonts w:cs="Arial"/>
                              <w:color w:val="777777"/>
                              <w:sz w:val="20"/>
                              <w:szCs w:val="20"/>
                            </w:rPr>
                            <w:t>Main:</w:t>
                          </w:r>
                          <w:r w:rsidR="007A5FDC">
                            <w:rPr>
                              <w:rFonts w:cs="Arial"/>
                              <w:color w:val="777777"/>
                              <w:sz w:val="20"/>
                              <w:szCs w:val="20"/>
                            </w:rPr>
                            <w:tab/>
                            <w:t xml:space="preserve">(614) </w:t>
                          </w:r>
                          <w:r w:rsidR="00A13E08" w:rsidRPr="007B0B57">
                            <w:rPr>
                              <w:rFonts w:cs="Arial"/>
                              <w:color w:val="777777"/>
                              <w:sz w:val="20"/>
                              <w:szCs w:val="20"/>
                            </w:rPr>
                            <w:t>466-5500</w:t>
                          </w:r>
                          <w:r w:rsidR="00A13E08">
                            <w:rPr>
                              <w:rFonts w:cs="Arial"/>
                              <w:color w:val="777777"/>
                              <w:sz w:val="20"/>
                              <w:szCs w:val="20"/>
                            </w:rPr>
                            <w:br/>
                          </w:r>
                          <w:r w:rsidR="00A13E08" w:rsidRPr="007B0B57">
                            <w:rPr>
                              <w:rFonts w:cs="Arial"/>
                              <w:color w:val="777777"/>
                              <w:sz w:val="20"/>
                              <w:szCs w:val="20"/>
                            </w:rPr>
                            <w:t>Columbus, OH 43215-</w:t>
                          </w:r>
                          <w:r>
                            <w:rPr>
                              <w:rFonts w:cs="Arial"/>
                              <w:color w:val="777777"/>
                              <w:sz w:val="20"/>
                              <w:szCs w:val="20"/>
                            </w:rPr>
                            <w:t>2406</w:t>
                          </w:r>
                          <w:r w:rsidR="00A13E08" w:rsidRPr="007B0B57">
                            <w:rPr>
                              <w:rFonts w:cs="Arial"/>
                              <w:color w:val="777777"/>
                              <w:sz w:val="20"/>
                              <w:szCs w:val="20"/>
                            </w:rPr>
                            <w:t xml:space="preserve"> U.S.A.</w:t>
                          </w:r>
                          <w:r w:rsidR="00A13E08" w:rsidRPr="007B0B57">
                            <w:rPr>
                              <w:rFonts w:cs="Arial"/>
                              <w:color w:val="777777"/>
                              <w:sz w:val="20"/>
                              <w:szCs w:val="20"/>
                            </w:rPr>
                            <w:tab/>
                          </w:r>
                          <w:r w:rsidR="007A5FDC">
                            <w:rPr>
                              <w:rFonts w:cs="Arial"/>
                              <w:color w:val="777777"/>
                              <w:sz w:val="20"/>
                              <w:szCs w:val="20"/>
                            </w:rPr>
                            <w:t xml:space="preserve">Fax: </w:t>
                          </w:r>
                          <w:r w:rsidR="007A5FDC">
                            <w:rPr>
                              <w:rFonts w:cs="Arial"/>
                              <w:color w:val="777777"/>
                              <w:sz w:val="20"/>
                              <w:szCs w:val="20"/>
                            </w:rPr>
                            <w:tab/>
                            <w:t>(</w:t>
                          </w:r>
                          <w:r w:rsidR="00A13E08" w:rsidRPr="007B0B57">
                            <w:rPr>
                              <w:rFonts w:cs="Arial"/>
                              <w:color w:val="777777"/>
                              <w:sz w:val="20"/>
                              <w:szCs w:val="20"/>
                            </w:rPr>
                            <w:t>614</w:t>
                          </w:r>
                          <w:r w:rsidR="007A5FDC">
                            <w:rPr>
                              <w:rFonts w:cs="Arial"/>
                              <w:color w:val="777777"/>
                              <w:sz w:val="20"/>
                              <w:szCs w:val="20"/>
                            </w:rPr>
                            <w:t xml:space="preserve">) </w:t>
                          </w:r>
                          <w:r w:rsidR="00A13E08" w:rsidRPr="007B0B57">
                            <w:rPr>
                              <w:rFonts w:cs="Arial"/>
                              <w:color w:val="777777"/>
                              <w:sz w:val="20"/>
                              <w:szCs w:val="20"/>
                            </w:rPr>
                            <w:t>466-5741</w:t>
                          </w:r>
                        </w:p>
                        <w:p w:rsidR="00A13E08" w:rsidRPr="00AB78B3" w:rsidRDefault="00A13E08" w:rsidP="007A5FDC">
                          <w:pPr>
                            <w:pStyle w:val="Footer"/>
                            <w:tabs>
                              <w:tab w:val="left" w:pos="3420"/>
                              <w:tab w:val="left" w:pos="3960"/>
                            </w:tabs>
                            <w:rPr>
                              <w:rFonts w:cs="Arial"/>
                              <w:color w:val="777777"/>
                              <w:sz w:val="20"/>
                              <w:szCs w:val="20"/>
                            </w:rPr>
                          </w:pPr>
                          <w:r w:rsidRPr="007B0B57">
                            <w:rPr>
                              <w:rFonts w:cs="Arial"/>
                              <w:color w:val="777777"/>
                              <w:sz w:val="20"/>
                              <w:szCs w:val="20"/>
                            </w:rPr>
                            <w:t>www.aging.ohio.gov</w:t>
                          </w:r>
                          <w:r w:rsidRPr="007B0B57">
                            <w:rPr>
                              <w:rFonts w:cs="Arial"/>
                              <w:color w:val="777777"/>
                              <w:sz w:val="20"/>
                              <w:szCs w:val="20"/>
                            </w:rPr>
                            <w:tab/>
                          </w:r>
                          <w:r w:rsidR="007A5FDC">
                            <w:rPr>
                              <w:rFonts w:cs="Arial"/>
                              <w:color w:val="777777"/>
                              <w:sz w:val="20"/>
                              <w:szCs w:val="20"/>
                            </w:rPr>
                            <w:t xml:space="preserve">TTY: </w:t>
                          </w:r>
                          <w:r w:rsidR="007A5FDC">
                            <w:rPr>
                              <w:rFonts w:cs="Arial"/>
                              <w:color w:val="777777"/>
                              <w:sz w:val="20"/>
                              <w:szCs w:val="20"/>
                            </w:rPr>
                            <w:tab/>
                            <w:t>Dial 711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8A6BC" id="_x0000_t202" coordsize="21600,21600" o:spt="202" path="m,l,21600r21600,l21600,xe">
              <v:stroke joinstyle="miter"/>
              <v:path gradientshapeok="t" o:connecttype="rect"/>
            </v:shapetype>
            <v:shape id="Text Box 8" o:spid="_x0000_s1026" type="#_x0000_t202" style="position:absolute;margin-left:154.5pt;margin-top:727.5pt;width:285.6pt;height:4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FssAIAAL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HFtjpDr1Nwuu/BzYxgtp6Wqe7vZPlVIyFXDRVbdqOUHBpGK8gutDf9s6sT&#10;jrYgm+GDrCAM3RnpgMZadRYQioEAHbr0eOqMTaUE4+U8WoQRHJVwNiNREs1cCJoeb/dKm3dMdsgu&#10;Mqyg8w6d7u+0sdnQ9OhigwlZ8LZ13W/FMwM4ThaIDVftmc3CNfNHEiTreB0Tj0TztUeCPPduihXx&#10;5kW4mOWX+WqVhz9t3JCkDa8qJmyYo7BC8meNO0h8ksRJWlq2vLJwNiWttptVq9CegrAL9x0Kcubm&#10;P0/DFQG4vKAURiS4jRKvmMcLjxRk5iWLIPaCMLlN5gFJSF48p3THBft3SmjIcDKDPjo6v+UWuO81&#10;N5p23MDoaHmX4fjkRFMrwbWoXGsN5e20PiuFTf+pFNDuY6OdYK1GJ7WacTMCilXxRlaPIF0lQVkg&#10;Qph3sGik+o7RALMjw/rbjiqGUftegPyTkBA7bNwGFurcujlaqSgBIsMGo2m5MtNg2vWKbxuIMD00&#10;IW/gqdTcqfgpm8MDg7ngyBxmmB0853vn9TRpl78AAAD//wMAUEsDBBQABgAIAAAAIQA2eFwK4AAA&#10;AA0BAAAPAAAAZHJzL2Rvd25yZXYueG1sTI/BTsMwEETvSPyDtUjcqN3QoDTEqQCJnsqBwgdsYzcO&#10;xHZku03Sr2c5wW13ZzT7ptpMtmdnHWLnnYTlQgDTrvGqc62Ez4/XuwJYTOgU9t5pCbOOsKmvryos&#10;lR/duz7vU8soxMUSJZiUhpLz2BhtMS78oB1pRx8sJlpDy1XAkcJtzzMhHrjFztEHg4N+Mbr53p+s&#10;BHtZXsIO0X5t5wzHYTbbt92zlLc309MjsKSn9GeGX3xCh5qYDv7kVGS9hHuxpi6JhFWe00SWohAZ&#10;sAOd8pXIgdcV/9+i/gEAAP//AwBQSwECLQAUAAYACAAAACEAtoM4kv4AAADhAQAAEwAAAAAAAAAA&#10;AAAAAAAAAAAAW0NvbnRlbnRfVHlwZXNdLnhtbFBLAQItABQABgAIAAAAIQA4/SH/1gAAAJQBAAAL&#10;AAAAAAAAAAAAAAAAAC8BAABfcmVscy8ucmVsc1BLAQItABQABgAIAAAAIQDxeMFssAIAALEFAAAO&#10;AAAAAAAAAAAAAAAAAC4CAABkcnMvZTJvRG9jLnhtbFBLAQItABQABgAIAAAAIQA2eFwK4AAAAA0B&#10;AAAPAAAAAAAAAAAAAAAAAAoFAABkcnMvZG93bnJldi54bWxQSwUGAAAAAAQABADzAAAAFwYAAAAA&#10;" filled="f" stroked="f">
              <v:textbox inset=",0,,0">
                <w:txbxContent>
                  <w:p w:rsidR="00A13E08" w:rsidRDefault="0071043A" w:rsidP="007A5FDC">
                    <w:pPr>
                      <w:pStyle w:val="Footer"/>
                      <w:tabs>
                        <w:tab w:val="clear" w:pos="4320"/>
                        <w:tab w:val="clear" w:pos="8640"/>
                        <w:tab w:val="left" w:pos="3420"/>
                        <w:tab w:val="left" w:pos="3960"/>
                      </w:tabs>
                      <w:rPr>
                        <w:rFonts w:cs="Arial"/>
                        <w:color w:val="777777"/>
                        <w:sz w:val="20"/>
                        <w:szCs w:val="20"/>
                      </w:rPr>
                    </w:pPr>
                    <w:r>
                      <w:rPr>
                        <w:rFonts w:cs="Arial"/>
                        <w:color w:val="777777"/>
                        <w:sz w:val="20"/>
                        <w:szCs w:val="20"/>
                      </w:rPr>
                      <w:t>246 N. High St.</w:t>
                    </w:r>
                    <w:r w:rsidR="00A13E08" w:rsidRPr="007B0B57">
                      <w:rPr>
                        <w:rFonts w:cs="Arial"/>
                        <w:color w:val="777777"/>
                        <w:sz w:val="20"/>
                        <w:szCs w:val="20"/>
                      </w:rPr>
                      <w:t xml:space="preserve"> / </w:t>
                    </w:r>
                    <w:r>
                      <w:rPr>
                        <w:rFonts w:cs="Arial"/>
                        <w:color w:val="777777"/>
                        <w:sz w:val="20"/>
                        <w:szCs w:val="20"/>
                      </w:rPr>
                      <w:t>1st</w:t>
                    </w:r>
                    <w:r w:rsidR="00A13E08" w:rsidRPr="007B0B57">
                      <w:rPr>
                        <w:rFonts w:cs="Arial"/>
                        <w:color w:val="777777"/>
                        <w:sz w:val="20"/>
                        <w:szCs w:val="20"/>
                      </w:rPr>
                      <w:t xml:space="preserve"> Fl</w:t>
                    </w:r>
                    <w:r>
                      <w:rPr>
                        <w:rFonts w:cs="Arial"/>
                        <w:color w:val="777777"/>
                        <w:sz w:val="20"/>
                        <w:szCs w:val="20"/>
                      </w:rPr>
                      <w:t>.</w:t>
                    </w:r>
                    <w:r w:rsidR="00A13E08" w:rsidRPr="007B0B57">
                      <w:rPr>
                        <w:rFonts w:cs="Arial"/>
                        <w:color w:val="777777"/>
                        <w:sz w:val="20"/>
                        <w:szCs w:val="20"/>
                      </w:rPr>
                      <w:tab/>
                    </w:r>
                    <w:r w:rsidR="007A5FDC">
                      <w:rPr>
                        <w:rFonts w:cs="Arial"/>
                        <w:color w:val="777777"/>
                        <w:sz w:val="20"/>
                        <w:szCs w:val="20"/>
                      </w:rPr>
                      <w:t>Main:</w:t>
                    </w:r>
                    <w:r w:rsidR="007A5FDC">
                      <w:rPr>
                        <w:rFonts w:cs="Arial"/>
                        <w:color w:val="777777"/>
                        <w:sz w:val="20"/>
                        <w:szCs w:val="20"/>
                      </w:rPr>
                      <w:tab/>
                      <w:t xml:space="preserve">(614) </w:t>
                    </w:r>
                    <w:r w:rsidR="00A13E08" w:rsidRPr="007B0B57">
                      <w:rPr>
                        <w:rFonts w:cs="Arial"/>
                        <w:color w:val="777777"/>
                        <w:sz w:val="20"/>
                        <w:szCs w:val="20"/>
                      </w:rPr>
                      <w:t>466-5500</w:t>
                    </w:r>
                    <w:r w:rsidR="00A13E08">
                      <w:rPr>
                        <w:rFonts w:cs="Arial"/>
                        <w:color w:val="777777"/>
                        <w:sz w:val="20"/>
                        <w:szCs w:val="20"/>
                      </w:rPr>
                      <w:br/>
                    </w:r>
                    <w:r w:rsidR="00A13E08" w:rsidRPr="007B0B57">
                      <w:rPr>
                        <w:rFonts w:cs="Arial"/>
                        <w:color w:val="777777"/>
                        <w:sz w:val="20"/>
                        <w:szCs w:val="20"/>
                      </w:rPr>
                      <w:t>Columbus, OH 43215-</w:t>
                    </w:r>
                    <w:r>
                      <w:rPr>
                        <w:rFonts w:cs="Arial"/>
                        <w:color w:val="777777"/>
                        <w:sz w:val="20"/>
                        <w:szCs w:val="20"/>
                      </w:rPr>
                      <w:t>2406</w:t>
                    </w:r>
                    <w:r w:rsidR="00A13E08" w:rsidRPr="007B0B57">
                      <w:rPr>
                        <w:rFonts w:cs="Arial"/>
                        <w:color w:val="777777"/>
                        <w:sz w:val="20"/>
                        <w:szCs w:val="20"/>
                      </w:rPr>
                      <w:t xml:space="preserve"> U.S.A.</w:t>
                    </w:r>
                    <w:r w:rsidR="00A13E08" w:rsidRPr="007B0B57">
                      <w:rPr>
                        <w:rFonts w:cs="Arial"/>
                        <w:color w:val="777777"/>
                        <w:sz w:val="20"/>
                        <w:szCs w:val="20"/>
                      </w:rPr>
                      <w:tab/>
                    </w:r>
                    <w:r w:rsidR="007A5FDC">
                      <w:rPr>
                        <w:rFonts w:cs="Arial"/>
                        <w:color w:val="777777"/>
                        <w:sz w:val="20"/>
                        <w:szCs w:val="20"/>
                      </w:rPr>
                      <w:t xml:space="preserve">Fax: </w:t>
                    </w:r>
                    <w:r w:rsidR="007A5FDC">
                      <w:rPr>
                        <w:rFonts w:cs="Arial"/>
                        <w:color w:val="777777"/>
                        <w:sz w:val="20"/>
                        <w:szCs w:val="20"/>
                      </w:rPr>
                      <w:tab/>
                      <w:t>(</w:t>
                    </w:r>
                    <w:r w:rsidR="00A13E08" w:rsidRPr="007B0B57">
                      <w:rPr>
                        <w:rFonts w:cs="Arial"/>
                        <w:color w:val="777777"/>
                        <w:sz w:val="20"/>
                        <w:szCs w:val="20"/>
                      </w:rPr>
                      <w:t>614</w:t>
                    </w:r>
                    <w:r w:rsidR="007A5FDC">
                      <w:rPr>
                        <w:rFonts w:cs="Arial"/>
                        <w:color w:val="777777"/>
                        <w:sz w:val="20"/>
                        <w:szCs w:val="20"/>
                      </w:rPr>
                      <w:t xml:space="preserve">) </w:t>
                    </w:r>
                    <w:r w:rsidR="00A13E08" w:rsidRPr="007B0B57">
                      <w:rPr>
                        <w:rFonts w:cs="Arial"/>
                        <w:color w:val="777777"/>
                        <w:sz w:val="20"/>
                        <w:szCs w:val="20"/>
                      </w:rPr>
                      <w:t>466-5741</w:t>
                    </w:r>
                  </w:p>
                  <w:p w:rsidR="00A13E08" w:rsidRPr="00AB78B3" w:rsidRDefault="00A13E08" w:rsidP="007A5FDC">
                    <w:pPr>
                      <w:pStyle w:val="Footer"/>
                      <w:tabs>
                        <w:tab w:val="left" w:pos="3420"/>
                        <w:tab w:val="left" w:pos="3960"/>
                      </w:tabs>
                      <w:rPr>
                        <w:rFonts w:cs="Arial"/>
                        <w:color w:val="777777"/>
                        <w:sz w:val="20"/>
                        <w:szCs w:val="20"/>
                      </w:rPr>
                    </w:pPr>
                    <w:r w:rsidRPr="007B0B57">
                      <w:rPr>
                        <w:rFonts w:cs="Arial"/>
                        <w:color w:val="777777"/>
                        <w:sz w:val="20"/>
                        <w:szCs w:val="20"/>
                      </w:rPr>
                      <w:t>www.aging.ohio.gov</w:t>
                    </w:r>
                    <w:r w:rsidRPr="007B0B57">
                      <w:rPr>
                        <w:rFonts w:cs="Arial"/>
                        <w:color w:val="777777"/>
                        <w:sz w:val="20"/>
                        <w:szCs w:val="20"/>
                      </w:rPr>
                      <w:tab/>
                    </w:r>
                    <w:r w:rsidR="007A5FDC">
                      <w:rPr>
                        <w:rFonts w:cs="Arial"/>
                        <w:color w:val="777777"/>
                        <w:sz w:val="20"/>
                        <w:szCs w:val="20"/>
                      </w:rPr>
                      <w:t xml:space="preserve">TTY: </w:t>
                    </w:r>
                    <w:r w:rsidR="007A5FDC">
                      <w:rPr>
                        <w:rFonts w:cs="Arial"/>
                        <w:color w:val="777777"/>
                        <w:sz w:val="20"/>
                        <w:szCs w:val="20"/>
                      </w:rPr>
                      <w:tab/>
                      <w:t>Dial 711</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F0B" w:rsidRDefault="00A86F0B">
      <w:r>
        <w:separator/>
      </w:r>
    </w:p>
  </w:footnote>
  <w:footnote w:type="continuationSeparator" w:id="0">
    <w:p w:rsidR="00A86F0B" w:rsidRDefault="00A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922" w:rsidRPr="00B008C0" w:rsidRDefault="008E3922" w:rsidP="00B008C0">
    <w:pPr>
      <w:ind w:left="6480"/>
      <w:rPr>
        <w:rFonts w:ascii="Cambria" w:hAnsi="Cambria"/>
        <w:b/>
        <w:i/>
        <w:color w:val="0D0D0D" w:themeColor="text1" w:themeTint="F2"/>
        <w:sz w:val="28"/>
        <w:szCs w:val="28"/>
      </w:rPr>
    </w:pPr>
    <w:r w:rsidRPr="00B008C0">
      <w:rPr>
        <w:rFonts w:ascii="Cambria" w:hAnsi="Cambria"/>
        <w:b/>
        <w:i/>
        <w:noProof/>
        <w:color w:val="0D0D0D" w:themeColor="text1" w:themeTint="F2"/>
        <w:sz w:val="28"/>
        <w:szCs w:val="28"/>
      </w:rPr>
      <w:drawing>
        <wp:anchor distT="0" distB="0" distL="114300" distR="114300" simplePos="0" relativeHeight="251659776" behindDoc="0" locked="0" layoutInCell="1" allowOverlap="1">
          <wp:simplePos x="0" y="0"/>
          <wp:positionH relativeFrom="column">
            <wp:posOffset>-180975</wp:posOffset>
          </wp:positionH>
          <wp:positionV relativeFrom="paragraph">
            <wp:posOffset>9525</wp:posOffset>
          </wp:positionV>
          <wp:extent cx="2298829" cy="85725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A Logo Alternate Hi-Res Color.PNG"/>
                  <pic:cNvPicPr/>
                </pic:nvPicPr>
                <pic:blipFill>
                  <a:blip r:embed="rId1">
                    <a:extLst>
                      <a:ext uri="{28A0092B-C50C-407E-A947-70E740481C1C}">
                        <a14:useLocalDpi xmlns:a14="http://schemas.microsoft.com/office/drawing/2010/main" val="0"/>
                      </a:ext>
                    </a:extLst>
                  </a:blip>
                  <a:stretch>
                    <a:fillRect/>
                  </a:stretch>
                </pic:blipFill>
                <pic:spPr>
                  <a:xfrm>
                    <a:off x="0" y="0"/>
                    <a:ext cx="2298829" cy="857250"/>
                  </a:xfrm>
                  <a:prstGeom prst="rect">
                    <a:avLst/>
                  </a:prstGeom>
                </pic:spPr>
              </pic:pic>
            </a:graphicData>
          </a:graphic>
          <wp14:sizeRelH relativeFrom="page">
            <wp14:pctWidth>0</wp14:pctWidth>
          </wp14:sizeRelH>
          <wp14:sizeRelV relativeFrom="page">
            <wp14:pctHeight>0</wp14:pctHeight>
          </wp14:sizeRelV>
        </wp:anchor>
      </w:drawing>
    </w:r>
    <w:r w:rsidRPr="00B008C0">
      <w:rPr>
        <w:rFonts w:ascii="Cambria" w:hAnsi="Cambria"/>
        <w:b/>
        <w:i/>
        <w:color w:val="0D0D0D" w:themeColor="text1" w:themeTint="F2"/>
        <w:sz w:val="28"/>
        <w:szCs w:val="28"/>
      </w:rPr>
      <w:t xml:space="preserve">Empowering Elders. </w:t>
    </w:r>
  </w:p>
  <w:p w:rsidR="008E3922" w:rsidRPr="00B008C0" w:rsidRDefault="008E3922" w:rsidP="00B008C0">
    <w:pPr>
      <w:pStyle w:val="Header"/>
      <w:tabs>
        <w:tab w:val="clear" w:pos="4320"/>
        <w:tab w:val="clear" w:pos="8640"/>
        <w:tab w:val="left" w:pos="1260"/>
      </w:tabs>
      <w:ind w:left="6480"/>
      <w:rPr>
        <w:rFonts w:ascii="Cambria" w:hAnsi="Cambria"/>
        <w:b/>
        <w:i/>
        <w:color w:val="0D0D0D" w:themeColor="text1" w:themeTint="F2"/>
        <w:sz w:val="28"/>
        <w:szCs w:val="28"/>
      </w:rPr>
    </w:pPr>
    <w:r w:rsidRPr="00B008C0">
      <w:rPr>
        <w:rFonts w:ascii="Cambria" w:hAnsi="Cambria"/>
        <w:b/>
        <w:i/>
        <w:color w:val="0D0D0D" w:themeColor="text1" w:themeTint="F2"/>
        <w:sz w:val="28"/>
        <w:szCs w:val="28"/>
      </w:rPr>
      <w:t>Strengthening Communities.</w:t>
    </w:r>
  </w:p>
  <w:p w:rsidR="00E82504" w:rsidRDefault="00E82504" w:rsidP="00E82504">
    <w:pPr>
      <w:pStyle w:val="Header"/>
      <w:tabs>
        <w:tab w:val="clear" w:pos="4320"/>
        <w:tab w:val="clear" w:pos="8640"/>
        <w:tab w:val="left" w:pos="1260"/>
      </w:tabs>
      <w:ind w:left="6480"/>
      <w:rPr>
        <w:rFonts w:cs="Arial"/>
        <w:b/>
        <w:color w:val="800000"/>
        <w:sz w:val="20"/>
        <w:szCs w:val="20"/>
      </w:rPr>
    </w:pPr>
  </w:p>
  <w:p w:rsidR="00E82504" w:rsidRDefault="00F26001" w:rsidP="00E82504">
    <w:pPr>
      <w:pStyle w:val="Header"/>
      <w:tabs>
        <w:tab w:val="clear" w:pos="4320"/>
        <w:tab w:val="clear" w:pos="8640"/>
        <w:tab w:val="left" w:pos="1260"/>
      </w:tabs>
      <w:ind w:left="6480"/>
      <w:rPr>
        <w:rFonts w:cs="Arial"/>
        <w:color w:val="777777"/>
        <w:sz w:val="20"/>
        <w:szCs w:val="20"/>
      </w:rPr>
    </w:pPr>
    <w:r>
      <w:rPr>
        <w:rFonts w:cs="Arial"/>
        <w:b/>
        <w:color w:val="700017"/>
        <w:sz w:val="20"/>
        <w:szCs w:val="20"/>
      </w:rPr>
      <w:t>Mike DeWine</w:t>
    </w:r>
    <w:r w:rsidR="00E82504" w:rsidRPr="00306C34">
      <w:rPr>
        <w:rFonts w:cs="Arial"/>
        <w:color w:val="700017"/>
        <w:sz w:val="20"/>
        <w:szCs w:val="20"/>
      </w:rPr>
      <w:t>,</w:t>
    </w:r>
    <w:r w:rsidR="00E82504" w:rsidRPr="00022D03">
      <w:rPr>
        <w:rFonts w:cs="Arial"/>
        <w:sz w:val="20"/>
        <w:szCs w:val="20"/>
      </w:rPr>
      <w:t xml:space="preserve"> </w:t>
    </w:r>
    <w:r w:rsidR="00E82504" w:rsidRPr="00022D03">
      <w:rPr>
        <w:rFonts w:cs="Arial"/>
        <w:color w:val="777777"/>
        <w:sz w:val="20"/>
        <w:szCs w:val="20"/>
      </w:rPr>
      <w:t>Governor</w:t>
    </w:r>
    <w:r w:rsidR="00E82504" w:rsidRPr="00022D03">
      <w:rPr>
        <w:rFonts w:cs="Arial"/>
        <w:b/>
        <w:color w:val="800000"/>
        <w:sz w:val="20"/>
        <w:szCs w:val="20"/>
      </w:rPr>
      <w:br/>
    </w:r>
    <w:r>
      <w:rPr>
        <w:rFonts w:cs="Arial"/>
        <w:b/>
        <w:color w:val="700017"/>
        <w:sz w:val="20"/>
        <w:szCs w:val="20"/>
      </w:rPr>
      <w:t>Ursel</w:t>
    </w:r>
    <w:r w:rsidR="001B7C88">
      <w:rPr>
        <w:rFonts w:cs="Arial"/>
        <w:b/>
        <w:color w:val="700017"/>
        <w:sz w:val="20"/>
        <w:szCs w:val="20"/>
      </w:rPr>
      <w:t xml:space="preserve"> J.</w:t>
    </w:r>
    <w:r>
      <w:rPr>
        <w:rFonts w:cs="Arial"/>
        <w:b/>
        <w:color w:val="700017"/>
        <w:sz w:val="20"/>
        <w:szCs w:val="20"/>
      </w:rPr>
      <w:t xml:space="preserve"> McElroy</w:t>
    </w:r>
    <w:r w:rsidR="00E82504" w:rsidRPr="00306C34">
      <w:rPr>
        <w:rFonts w:cs="Arial"/>
        <w:color w:val="700017"/>
        <w:sz w:val="20"/>
        <w:szCs w:val="20"/>
      </w:rPr>
      <w:t xml:space="preserve">, </w:t>
    </w:r>
    <w:r w:rsidR="00E82504">
      <w:rPr>
        <w:rFonts w:cs="Arial"/>
        <w:color w:val="777777"/>
        <w:sz w:val="20"/>
        <w:szCs w:val="20"/>
      </w:rPr>
      <w:t>D</w:t>
    </w:r>
    <w:r w:rsidR="00E82504" w:rsidRPr="00022D03">
      <w:rPr>
        <w:rFonts w:cs="Arial"/>
        <w:color w:val="777777"/>
        <w:sz w:val="20"/>
        <w:szCs w:val="20"/>
      </w:rPr>
      <w:t>irector</w:t>
    </w:r>
  </w:p>
  <w:p w:rsidR="00640578" w:rsidRPr="00631C03" w:rsidRDefault="00640578" w:rsidP="00631C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81585"/>
    <w:multiLevelType w:val="hybridMultilevel"/>
    <w:tmpl w:val="766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B"/>
    <w:rsid w:val="0000233C"/>
    <w:rsid w:val="00022D03"/>
    <w:rsid w:val="0003539E"/>
    <w:rsid w:val="000521B9"/>
    <w:rsid w:val="000B20D2"/>
    <w:rsid w:val="000C46BA"/>
    <w:rsid w:val="000D1BA6"/>
    <w:rsid w:val="000D7FA2"/>
    <w:rsid w:val="000E17C3"/>
    <w:rsid w:val="000E49BF"/>
    <w:rsid w:val="000E7662"/>
    <w:rsid w:val="00104FEF"/>
    <w:rsid w:val="00114CAB"/>
    <w:rsid w:val="00124980"/>
    <w:rsid w:val="00136733"/>
    <w:rsid w:val="00185F8F"/>
    <w:rsid w:val="001A638D"/>
    <w:rsid w:val="001B7C88"/>
    <w:rsid w:val="001D21E0"/>
    <w:rsid w:val="001F3F44"/>
    <w:rsid w:val="0022062F"/>
    <w:rsid w:val="0023318F"/>
    <w:rsid w:val="00235948"/>
    <w:rsid w:val="00265D12"/>
    <w:rsid w:val="00277656"/>
    <w:rsid w:val="002D7F54"/>
    <w:rsid w:val="003659CE"/>
    <w:rsid w:val="00375CD8"/>
    <w:rsid w:val="00390DE9"/>
    <w:rsid w:val="0039160D"/>
    <w:rsid w:val="003C0BA4"/>
    <w:rsid w:val="003D5790"/>
    <w:rsid w:val="003E4DAE"/>
    <w:rsid w:val="003F0180"/>
    <w:rsid w:val="00414CEC"/>
    <w:rsid w:val="004220AD"/>
    <w:rsid w:val="00467079"/>
    <w:rsid w:val="004A6C92"/>
    <w:rsid w:val="00540BDD"/>
    <w:rsid w:val="00544BB2"/>
    <w:rsid w:val="005A4CDC"/>
    <w:rsid w:val="005A7087"/>
    <w:rsid w:val="005C4F8C"/>
    <w:rsid w:val="005E0472"/>
    <w:rsid w:val="00603B9C"/>
    <w:rsid w:val="00604393"/>
    <w:rsid w:val="00620CE9"/>
    <w:rsid w:val="00620E9E"/>
    <w:rsid w:val="00631C03"/>
    <w:rsid w:val="00640578"/>
    <w:rsid w:val="006545A9"/>
    <w:rsid w:val="0069075C"/>
    <w:rsid w:val="00697B10"/>
    <w:rsid w:val="006B5799"/>
    <w:rsid w:val="0071043A"/>
    <w:rsid w:val="00740743"/>
    <w:rsid w:val="0075115E"/>
    <w:rsid w:val="00753BD8"/>
    <w:rsid w:val="007852B8"/>
    <w:rsid w:val="0079559E"/>
    <w:rsid w:val="007A39D2"/>
    <w:rsid w:val="007A5FDC"/>
    <w:rsid w:val="007B0B57"/>
    <w:rsid w:val="007E78AB"/>
    <w:rsid w:val="007F282B"/>
    <w:rsid w:val="007F3419"/>
    <w:rsid w:val="00803CFB"/>
    <w:rsid w:val="0081046E"/>
    <w:rsid w:val="00836F72"/>
    <w:rsid w:val="00894ECA"/>
    <w:rsid w:val="008E3922"/>
    <w:rsid w:val="00903F62"/>
    <w:rsid w:val="009048A4"/>
    <w:rsid w:val="00905B6F"/>
    <w:rsid w:val="0092552C"/>
    <w:rsid w:val="0095425C"/>
    <w:rsid w:val="00960CFB"/>
    <w:rsid w:val="009706B3"/>
    <w:rsid w:val="009800DB"/>
    <w:rsid w:val="009A2036"/>
    <w:rsid w:val="00A06487"/>
    <w:rsid w:val="00A13E08"/>
    <w:rsid w:val="00A57CD9"/>
    <w:rsid w:val="00A8507B"/>
    <w:rsid w:val="00A86F0B"/>
    <w:rsid w:val="00A9173A"/>
    <w:rsid w:val="00AB2076"/>
    <w:rsid w:val="00AB5E57"/>
    <w:rsid w:val="00B008C0"/>
    <w:rsid w:val="00B136C3"/>
    <w:rsid w:val="00B40812"/>
    <w:rsid w:val="00B4462A"/>
    <w:rsid w:val="00B5532F"/>
    <w:rsid w:val="00B709EB"/>
    <w:rsid w:val="00B96DA0"/>
    <w:rsid w:val="00BB3641"/>
    <w:rsid w:val="00BC58AD"/>
    <w:rsid w:val="00BF54EC"/>
    <w:rsid w:val="00C21294"/>
    <w:rsid w:val="00C40F75"/>
    <w:rsid w:val="00C810F9"/>
    <w:rsid w:val="00C8457D"/>
    <w:rsid w:val="00C90886"/>
    <w:rsid w:val="00C90DE0"/>
    <w:rsid w:val="00CB5AB7"/>
    <w:rsid w:val="00CF0362"/>
    <w:rsid w:val="00CF7DED"/>
    <w:rsid w:val="00D04CE1"/>
    <w:rsid w:val="00D22CED"/>
    <w:rsid w:val="00D561F0"/>
    <w:rsid w:val="00D66B06"/>
    <w:rsid w:val="00D8663E"/>
    <w:rsid w:val="00DB3A07"/>
    <w:rsid w:val="00DB76EA"/>
    <w:rsid w:val="00DE312B"/>
    <w:rsid w:val="00E07DB8"/>
    <w:rsid w:val="00E71360"/>
    <w:rsid w:val="00E82504"/>
    <w:rsid w:val="00E9178B"/>
    <w:rsid w:val="00EC2CD2"/>
    <w:rsid w:val="00ED1678"/>
    <w:rsid w:val="00F26001"/>
    <w:rsid w:val="00F42344"/>
    <w:rsid w:val="00F512EB"/>
    <w:rsid w:val="00F67AA9"/>
    <w:rsid w:val="00FA27A3"/>
    <w:rsid w:val="00FA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DB86CF"/>
  <w15:docId w15:val="{A41EB49B-3DAA-4613-85CF-B16DD284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ECA"/>
    <w:rPr>
      <w:rFonts w:ascii="Calibri" w:hAnsi="Calibri"/>
      <w:sz w:val="24"/>
      <w:szCs w:val="24"/>
    </w:rPr>
  </w:style>
  <w:style w:type="paragraph" w:styleId="Heading1">
    <w:name w:val="heading 1"/>
    <w:basedOn w:val="Normal"/>
    <w:next w:val="Normal"/>
    <w:link w:val="Heading1Char"/>
    <w:qFormat/>
    <w:rsid w:val="00A9173A"/>
    <w:pPr>
      <w:keepNext/>
      <w:keepLines/>
      <w:outlineLvl w:val="0"/>
    </w:pPr>
    <w:rPr>
      <w:rFonts w:ascii="Rockwell" w:eastAsiaTheme="majorEastAsia" w:hAnsi="Rockwell" w:cstheme="majorBidi"/>
      <w:b/>
      <w:bCs/>
      <w:color w:val="632423" w:themeColor="accen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5E57"/>
    <w:pPr>
      <w:tabs>
        <w:tab w:val="center" w:pos="4320"/>
        <w:tab w:val="right" w:pos="8640"/>
      </w:tabs>
    </w:pPr>
  </w:style>
  <w:style w:type="paragraph" w:styleId="Footer">
    <w:name w:val="footer"/>
    <w:basedOn w:val="Normal"/>
    <w:link w:val="FooterChar"/>
    <w:uiPriority w:val="99"/>
    <w:rsid w:val="00AB5E57"/>
    <w:pPr>
      <w:tabs>
        <w:tab w:val="center" w:pos="4320"/>
        <w:tab w:val="right" w:pos="8640"/>
      </w:tabs>
    </w:pPr>
  </w:style>
  <w:style w:type="paragraph" w:styleId="BalloonText">
    <w:name w:val="Balloon Text"/>
    <w:basedOn w:val="Normal"/>
    <w:semiHidden/>
    <w:rsid w:val="002D7F54"/>
    <w:rPr>
      <w:rFonts w:ascii="Tahoma" w:hAnsi="Tahoma" w:cs="Tahoma"/>
      <w:sz w:val="16"/>
      <w:szCs w:val="16"/>
    </w:rPr>
  </w:style>
  <w:style w:type="paragraph" w:styleId="EnvelopeAddress">
    <w:name w:val="envelope address"/>
    <w:basedOn w:val="Normal"/>
    <w:rsid w:val="00235948"/>
    <w:pPr>
      <w:framePr w:w="7920" w:h="1980" w:hRule="exact" w:hSpace="180" w:wrap="auto" w:hAnchor="page" w:xAlign="center" w:yAlign="bottom"/>
      <w:ind w:left="2880"/>
    </w:pPr>
    <w:rPr>
      <w:rFonts w:cs="Arial"/>
    </w:rPr>
  </w:style>
  <w:style w:type="paragraph" w:styleId="EnvelopeReturn">
    <w:name w:val="envelope return"/>
    <w:basedOn w:val="Normal"/>
    <w:rsid w:val="00235948"/>
    <w:rPr>
      <w:rFonts w:cs="Arial"/>
      <w:sz w:val="20"/>
      <w:szCs w:val="20"/>
    </w:rPr>
  </w:style>
  <w:style w:type="character" w:styleId="PageNumber">
    <w:name w:val="page number"/>
    <w:basedOn w:val="DefaultParagraphFont"/>
    <w:rsid w:val="00C21294"/>
  </w:style>
  <w:style w:type="character" w:customStyle="1" w:styleId="Heading1Char">
    <w:name w:val="Heading 1 Char"/>
    <w:basedOn w:val="DefaultParagraphFont"/>
    <w:link w:val="Heading1"/>
    <w:rsid w:val="00A9173A"/>
    <w:rPr>
      <w:rFonts w:ascii="Rockwell" w:eastAsiaTheme="majorEastAsia" w:hAnsi="Rockwell" w:cstheme="majorBidi"/>
      <w:b/>
      <w:bCs/>
      <w:color w:val="632423" w:themeColor="accent2" w:themeShade="80"/>
      <w:sz w:val="28"/>
      <w:szCs w:val="28"/>
    </w:rPr>
  </w:style>
  <w:style w:type="character" w:customStyle="1" w:styleId="FooterChar">
    <w:name w:val="Footer Char"/>
    <w:basedOn w:val="DefaultParagraphFont"/>
    <w:link w:val="Footer"/>
    <w:uiPriority w:val="99"/>
    <w:rsid w:val="00B008C0"/>
    <w:rPr>
      <w:rFonts w:ascii="Calibri" w:hAnsi="Calibri"/>
      <w:sz w:val="24"/>
      <w:szCs w:val="24"/>
    </w:rPr>
  </w:style>
  <w:style w:type="character" w:styleId="Hyperlink">
    <w:name w:val="Hyperlink"/>
    <w:basedOn w:val="DefaultParagraphFont"/>
    <w:unhideWhenUsed/>
    <w:rsid w:val="0079559E"/>
    <w:rPr>
      <w:color w:val="0000FF" w:themeColor="hyperlink"/>
      <w:u w:val="single"/>
    </w:rPr>
  </w:style>
  <w:style w:type="paragraph" w:styleId="ListParagraph">
    <w:name w:val="List Paragraph"/>
    <w:basedOn w:val="Normal"/>
    <w:uiPriority w:val="34"/>
    <w:qFormat/>
    <w:rsid w:val="00E9178B"/>
    <w:pPr>
      <w:ind w:left="720"/>
      <w:contextualSpacing/>
    </w:pPr>
  </w:style>
  <w:style w:type="character" w:styleId="UnresolvedMention">
    <w:name w:val="Unresolved Mention"/>
    <w:basedOn w:val="DefaultParagraphFont"/>
    <w:uiPriority w:val="99"/>
    <w:semiHidden/>
    <w:unhideWhenUsed/>
    <w:rsid w:val="00A06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8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ing.ohio.gov/safeatho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ady.ohio.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ging.sharefile.com/d-s74c7d52861f4e2e9" TargetMode="External"/><Relationship Id="rId4" Type="http://schemas.openxmlformats.org/officeDocument/2006/relationships/webSettings" Target="webSettings.xml"/><Relationship Id="rId9" Type="http://schemas.openxmlformats.org/officeDocument/2006/relationships/hyperlink" Target="https://youtu.be/y5u_Bs0GL8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tliff\Documents\Custom%20Office%20Templates\News%20Release%202019_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2019_Standard.dotx</Template>
  <TotalTime>33</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oda</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Ratliff, John</dc:creator>
  <cp:lastModifiedBy>Ratliff, John</cp:lastModifiedBy>
  <cp:revision>4</cp:revision>
  <cp:lastPrinted>2018-05-14T18:31:00Z</cp:lastPrinted>
  <dcterms:created xsi:type="dcterms:W3CDTF">2019-09-06T14:56:00Z</dcterms:created>
  <dcterms:modified xsi:type="dcterms:W3CDTF">2019-09-06T15:51:00Z</dcterms:modified>
</cp:coreProperties>
</file>